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102" w:rsidRDefault="002031CD">
      <w:pPr>
        <w:spacing w:line="276" w:lineRule="auto"/>
        <w:jc w:val="center"/>
        <w:rPr>
          <w:rFonts w:eastAsia="Arial"/>
          <w:b/>
          <w:bCs/>
          <w:szCs w:val="24"/>
        </w:rPr>
      </w:pPr>
      <w:r>
        <w:rPr>
          <w:rFonts w:eastAsia="Arial"/>
          <w:b/>
          <w:bCs/>
          <w:szCs w:val="24"/>
        </w:rPr>
        <w:t>KUPNÍ SMLOUVA</w:t>
      </w:r>
    </w:p>
    <w:p w:rsidR="00CE4102" w:rsidRDefault="00CE4102"/>
    <w:p w:rsidR="00CE4102" w:rsidRDefault="002031CD">
      <w:pPr>
        <w:spacing w:line="276" w:lineRule="auto"/>
        <w:jc w:val="center"/>
        <w:rPr>
          <w:rFonts w:eastAsia="Arial"/>
          <w:szCs w:val="24"/>
        </w:rPr>
      </w:pPr>
      <w:r>
        <w:rPr>
          <w:rFonts w:eastAsia="Arial"/>
          <w:szCs w:val="24"/>
        </w:rPr>
        <w:t xml:space="preserve">uzavřená podle ustanovení § 2079 a násl. zákona č. 89/2012 Sb., občanského zákoníku, v platném znění (dále jen jako „občanský zákoník“) </w:t>
      </w:r>
    </w:p>
    <w:p w:rsidR="00CE4102" w:rsidRDefault="00CE4102">
      <w:pPr>
        <w:spacing w:line="276" w:lineRule="auto"/>
        <w:rPr>
          <w:rFonts w:eastAsia="Arial"/>
          <w:szCs w:val="24"/>
        </w:rPr>
      </w:pPr>
    </w:p>
    <w:p w:rsidR="00CE4102" w:rsidRDefault="002031CD">
      <w:pPr>
        <w:spacing w:line="276" w:lineRule="auto"/>
        <w:rPr>
          <w:rFonts w:eastAsia="Arial"/>
          <w:szCs w:val="24"/>
        </w:rPr>
      </w:pPr>
      <w:r>
        <w:rPr>
          <w:rFonts w:eastAsia="Arial"/>
          <w:szCs w:val="24"/>
        </w:rPr>
        <w:t>mezi těmito smluvními stranami:</w:t>
      </w:r>
    </w:p>
    <w:p w:rsidR="00CE4102" w:rsidRDefault="00CE4102">
      <w:pPr>
        <w:spacing w:line="276" w:lineRule="auto"/>
        <w:jc w:val="center"/>
        <w:rPr>
          <w:b/>
          <w:szCs w:val="24"/>
        </w:rPr>
      </w:pPr>
    </w:p>
    <w:p w:rsidR="00CE4102" w:rsidRDefault="002031CD">
      <w:pPr>
        <w:spacing w:line="276" w:lineRule="auto"/>
        <w:ind w:left="15"/>
        <w:rPr>
          <w:b/>
          <w:i/>
          <w:szCs w:val="24"/>
        </w:rPr>
      </w:pPr>
      <w:r>
        <w:rPr>
          <w:b/>
          <w:szCs w:val="24"/>
        </w:rPr>
        <w:t xml:space="preserve">Název: </w:t>
      </w:r>
      <w:r>
        <w:rPr>
          <w:b/>
          <w:szCs w:val="24"/>
        </w:rPr>
        <w:fldChar w:fldCharType="begin"/>
      </w:r>
      <w:bookmarkStart w:id="0" w:name="Text1"/>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bookmarkEnd w:id="0"/>
    </w:p>
    <w:p w:rsidR="00CE4102" w:rsidRDefault="002031CD">
      <w:pPr>
        <w:spacing w:line="276" w:lineRule="auto"/>
        <w:ind w:left="15"/>
        <w:rPr>
          <w:szCs w:val="24"/>
        </w:rPr>
      </w:pPr>
      <w:r>
        <w:rPr>
          <w:szCs w:val="24"/>
        </w:rPr>
        <w:t xml:space="preserve">se sídlem: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IČO: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DIČ: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Zastoupen: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Kontaktní osoba:</w:t>
      </w:r>
      <w:r>
        <w:rPr>
          <w:b/>
          <w:szCs w:val="24"/>
        </w:rPr>
        <w:t xml:space="preserv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b/>
          <w:bCs/>
          <w:szCs w:val="24"/>
        </w:rPr>
      </w:pPr>
      <w:r>
        <w:rPr>
          <w:rFonts w:eastAsia="Arial"/>
          <w:b/>
          <w:bCs/>
          <w:szCs w:val="24"/>
        </w:rPr>
        <w:t>dále jen „prodávající“</w:t>
      </w:r>
    </w:p>
    <w:p w:rsidR="00CE4102" w:rsidRDefault="00CE4102"/>
    <w:p w:rsidR="00CE4102" w:rsidRDefault="002031CD">
      <w:r>
        <w:t>a</w:t>
      </w:r>
    </w:p>
    <w:p w:rsidR="00CE4102" w:rsidRDefault="00CE4102"/>
    <w:p w:rsidR="00CE4102" w:rsidRDefault="002031CD">
      <w:pPr>
        <w:rPr>
          <w:b/>
        </w:rPr>
      </w:pPr>
      <w:r>
        <w:rPr>
          <w:b/>
        </w:rPr>
        <w:t>Statutární město Jihlava</w:t>
      </w:r>
    </w:p>
    <w:p w:rsidR="00CE4102" w:rsidRDefault="002031CD">
      <w:r>
        <w:rPr>
          <w:rFonts w:eastAsia="Arial"/>
          <w:szCs w:val="24"/>
        </w:rPr>
        <w:t xml:space="preserve">se sídlem: </w:t>
      </w:r>
      <w:r>
        <w:t>Masarykovo náměstí 97/1, 586 01 Jihlava</w:t>
      </w:r>
    </w:p>
    <w:p w:rsidR="00CE4102" w:rsidRDefault="002031CD">
      <w:pPr>
        <w:spacing w:line="276" w:lineRule="auto"/>
        <w:ind w:left="284" w:hanging="284"/>
        <w:rPr>
          <w:rFonts w:eastAsia="Arial"/>
          <w:szCs w:val="24"/>
        </w:rPr>
      </w:pPr>
      <w:r>
        <w:rPr>
          <w:rFonts w:eastAsia="Arial"/>
          <w:szCs w:val="24"/>
        </w:rPr>
        <w:t xml:space="preserve">IČO: </w:t>
      </w:r>
      <w:r>
        <w:rPr>
          <w:bCs/>
        </w:rPr>
        <w:t xml:space="preserve">00286010 </w:t>
      </w:r>
    </w:p>
    <w:p w:rsidR="00CE4102" w:rsidRDefault="002031CD">
      <w:pPr>
        <w:spacing w:line="276" w:lineRule="auto"/>
        <w:rPr>
          <w:rFonts w:eastAsia="Arial"/>
          <w:szCs w:val="24"/>
        </w:rPr>
      </w:pPr>
      <w:r>
        <w:rPr>
          <w:rFonts w:eastAsia="Arial"/>
          <w:szCs w:val="24"/>
        </w:rPr>
        <w:t>Zastoupen: Ing. Jiřím Pokorným, náměstkem primátora</w:t>
      </w:r>
    </w:p>
    <w:p w:rsidR="00CE4102" w:rsidRDefault="002031CD">
      <w:pPr>
        <w:spacing w:line="276" w:lineRule="auto"/>
        <w:rPr>
          <w:rFonts w:eastAsia="Arial"/>
          <w:szCs w:val="24"/>
        </w:rPr>
      </w:pPr>
      <w:r>
        <w:rPr>
          <w:rFonts w:eastAsia="Arial"/>
          <w:szCs w:val="24"/>
        </w:rPr>
        <w:t xml:space="preserve">Kontaktní osoba: Vladimír Křivánek, tel.: 565 592 200, e-mail: </w:t>
      </w:r>
      <w:hyperlink r:id="rId8" w:tooltip="mailto:vladimir.krivanek@jihlava-city.cz" w:history="1">
        <w:r>
          <w:rPr>
            <w:rStyle w:val="Hypertextovodkaz"/>
            <w:rFonts w:eastAsia="Arial"/>
            <w:szCs w:val="24"/>
          </w:rPr>
          <w:t>vladimir.krivanek@jihlava-city.cz</w:t>
        </w:r>
      </w:hyperlink>
    </w:p>
    <w:p w:rsidR="00CE4102" w:rsidRDefault="002031CD">
      <w:pPr>
        <w:spacing w:line="276" w:lineRule="auto"/>
        <w:rPr>
          <w:rFonts w:eastAsia="Arial"/>
          <w:szCs w:val="24"/>
        </w:rPr>
      </w:pPr>
      <w:r>
        <w:rPr>
          <w:rFonts w:eastAsia="Arial"/>
          <w:b/>
          <w:bCs/>
          <w:szCs w:val="24"/>
        </w:rPr>
        <w:t>dále jen „kupující“</w:t>
      </w:r>
    </w:p>
    <w:p w:rsidR="00CE4102" w:rsidRDefault="00CE4102"/>
    <w:p w:rsidR="00CE4102" w:rsidRDefault="002031CD">
      <w:pPr>
        <w:spacing w:line="276" w:lineRule="auto"/>
        <w:jc w:val="center"/>
        <w:rPr>
          <w:rFonts w:eastAsia="Arial"/>
          <w:b/>
          <w:bCs/>
          <w:szCs w:val="24"/>
        </w:rPr>
      </w:pPr>
      <w:r>
        <w:rPr>
          <w:rFonts w:eastAsia="Arial"/>
          <w:b/>
          <w:bCs/>
          <w:szCs w:val="24"/>
        </w:rPr>
        <w:t>I.</w:t>
      </w:r>
    </w:p>
    <w:p w:rsidR="00CE4102" w:rsidRDefault="002031CD">
      <w:pPr>
        <w:spacing w:after="120" w:line="276" w:lineRule="auto"/>
        <w:jc w:val="center"/>
        <w:rPr>
          <w:rFonts w:eastAsia="Arial"/>
          <w:b/>
          <w:bCs/>
          <w:szCs w:val="24"/>
        </w:rPr>
      </w:pPr>
      <w:r>
        <w:rPr>
          <w:rFonts w:eastAsia="Arial"/>
          <w:b/>
          <w:bCs/>
          <w:szCs w:val="24"/>
        </w:rPr>
        <w:t>Předmět plnění</w:t>
      </w:r>
    </w:p>
    <w:p w:rsidR="00CE4102" w:rsidRDefault="002031CD">
      <w:pPr>
        <w:numPr>
          <w:ilvl w:val="0"/>
          <w:numId w:val="24"/>
        </w:numPr>
        <w:spacing w:line="276" w:lineRule="auto"/>
        <w:jc w:val="both"/>
        <w:rPr>
          <w:szCs w:val="24"/>
        </w:rPr>
      </w:pPr>
      <w:r>
        <w:rPr>
          <w:szCs w:val="24"/>
        </w:rPr>
        <w:t xml:space="preserve">Předmětem plnění je dodávka </w:t>
      </w:r>
      <w:r>
        <w:t>nových licencí Microsoft Exchange</w:t>
      </w:r>
      <w:bookmarkStart w:id="1" w:name="_GoBack"/>
      <w:bookmarkEnd w:id="1"/>
      <w:r>
        <w:t xml:space="preserve"> a přístupových CAL licencí dle technické specifikace uvedené v příloze</w:t>
      </w:r>
      <w:r>
        <w:rPr>
          <w:szCs w:val="24"/>
        </w:rPr>
        <w:t xml:space="preserve"> smlouvy č. 1 – Výpočet jednotkových cen, která je totožná s přílohou č. 4 - Položkový rozpočet podané cenové nabídky (dále jen jako „předmět koupě“).</w:t>
      </w:r>
    </w:p>
    <w:p w:rsidR="00CE4102" w:rsidRDefault="002031CD">
      <w:pPr>
        <w:numPr>
          <w:ilvl w:val="0"/>
          <w:numId w:val="24"/>
        </w:numPr>
        <w:spacing w:line="276" w:lineRule="auto"/>
        <w:jc w:val="both"/>
        <w:rPr>
          <w:szCs w:val="24"/>
        </w:rPr>
      </w:pPr>
      <w:r>
        <w:rPr>
          <w:szCs w:val="24"/>
        </w:rPr>
        <w:t>Prodávající prodává touto smlouvou předmět koupě specifikovaný v odst. 1. tohoto článku smlouvy kupujícímu a kupující tento předmět koupě od prodávajícího kupuje a zavazuje se zaplatit za něj prodávajícímu sjednanou kupní cenu.</w:t>
      </w:r>
    </w:p>
    <w:p w:rsidR="00CE4102" w:rsidRDefault="002031CD">
      <w:pPr>
        <w:numPr>
          <w:ilvl w:val="0"/>
          <w:numId w:val="24"/>
        </w:numPr>
        <w:spacing w:line="276" w:lineRule="auto"/>
        <w:jc w:val="both"/>
        <w:rPr>
          <w:szCs w:val="24"/>
        </w:rPr>
      </w:pPr>
      <w:r>
        <w:rPr>
          <w:szCs w:val="24"/>
        </w:rPr>
        <w:t>Prodávající odevzdá předmět koupě kupujícímu na základě odsouhlasených, oběma stranami podepsaných dodacích listů, prodávající umožní kupujícímu nabýt vlastnické právo, kupující se zavazuje, že předmět koupě převezme.</w:t>
      </w:r>
    </w:p>
    <w:p w:rsidR="00CE4102" w:rsidRDefault="00CE4102"/>
    <w:p w:rsidR="00CE4102" w:rsidRDefault="002031CD">
      <w:pPr>
        <w:spacing w:line="276" w:lineRule="auto"/>
        <w:jc w:val="center"/>
        <w:rPr>
          <w:rFonts w:eastAsia="Arial"/>
          <w:b/>
          <w:bCs/>
          <w:szCs w:val="24"/>
        </w:rPr>
      </w:pPr>
      <w:r>
        <w:rPr>
          <w:rFonts w:eastAsia="Arial"/>
          <w:b/>
          <w:bCs/>
          <w:szCs w:val="24"/>
        </w:rPr>
        <w:t>II.</w:t>
      </w:r>
    </w:p>
    <w:p w:rsidR="00CE4102" w:rsidRDefault="002031CD">
      <w:pPr>
        <w:spacing w:after="120" w:line="276" w:lineRule="auto"/>
        <w:jc w:val="center"/>
        <w:rPr>
          <w:rFonts w:eastAsia="Arial"/>
          <w:b/>
          <w:bCs/>
          <w:szCs w:val="24"/>
        </w:rPr>
      </w:pPr>
      <w:r>
        <w:rPr>
          <w:rFonts w:eastAsia="Arial"/>
          <w:b/>
          <w:bCs/>
          <w:szCs w:val="24"/>
        </w:rPr>
        <w:t>Kupní cena a platební podmínky</w:t>
      </w:r>
    </w:p>
    <w:p w:rsidR="00CE4102" w:rsidRDefault="002031CD">
      <w:pPr>
        <w:numPr>
          <w:ilvl w:val="0"/>
          <w:numId w:val="25"/>
        </w:numPr>
        <w:spacing w:line="276" w:lineRule="auto"/>
        <w:ind w:left="360"/>
        <w:jc w:val="both"/>
        <w:rPr>
          <w:szCs w:val="24"/>
        </w:rPr>
      </w:pPr>
      <w:r>
        <w:rPr>
          <w:szCs w:val="24"/>
        </w:rPr>
        <w:t>Kupní cena předmětu koupě uvedeného v článku I. této smlouvy činí:</w:t>
      </w:r>
    </w:p>
    <w:p w:rsidR="00CE4102" w:rsidRDefault="00CE4102"/>
    <w:p w:rsidR="00CE4102" w:rsidRDefault="002031CD">
      <w:pPr>
        <w:spacing w:line="276" w:lineRule="auto"/>
        <w:ind w:left="360"/>
        <w:jc w:val="both"/>
        <w:rPr>
          <w:b/>
          <w:szCs w:val="24"/>
        </w:rPr>
      </w:pP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b/>
          <w:color w:val="000000"/>
        </w:rPr>
        <w:t xml:space="preserve"> Kč</w:t>
      </w:r>
      <w:r>
        <w:rPr>
          <w:b/>
          <w:szCs w:val="24"/>
        </w:rPr>
        <w:t>, cena je uvedená bez DPH</w:t>
      </w:r>
      <w:r>
        <w:rPr>
          <w:rFonts w:cs="Arial"/>
          <w:sz w:val="20"/>
        </w:rPr>
        <w:t xml:space="preserve"> </w:t>
      </w:r>
      <w:r>
        <w:rPr>
          <w:szCs w:val="24"/>
        </w:rPr>
        <w:t>+ příslušná sazba DPH dle zákona č. 235/2004 Sb., ve znění platném ke dni povinnosti přiznat daň.</w:t>
      </w:r>
      <w:r>
        <w:rPr>
          <w:b/>
          <w:szCs w:val="24"/>
        </w:rPr>
        <w:t xml:space="preserve"> </w:t>
      </w:r>
    </w:p>
    <w:p w:rsidR="00CE4102" w:rsidRDefault="002031CD">
      <w:pPr>
        <w:numPr>
          <w:ilvl w:val="0"/>
          <w:numId w:val="25"/>
        </w:numPr>
        <w:spacing w:line="276" w:lineRule="auto"/>
        <w:ind w:left="360"/>
        <w:jc w:val="both"/>
        <w:rPr>
          <w:szCs w:val="24"/>
        </w:rPr>
      </w:pPr>
      <w:r>
        <w:rPr>
          <w:szCs w:val="24"/>
        </w:rPr>
        <w:t xml:space="preserve">Tato cena zahrnuje veškeré nezbytné náklady související s dodávkou předmětu koupě a to včetně nabytí licencí. </w:t>
      </w:r>
    </w:p>
    <w:p w:rsidR="00CE4102" w:rsidRDefault="002031CD">
      <w:pPr>
        <w:numPr>
          <w:ilvl w:val="0"/>
          <w:numId w:val="25"/>
        </w:numPr>
        <w:spacing w:line="276" w:lineRule="auto"/>
        <w:ind w:left="360"/>
        <w:jc w:val="both"/>
        <w:rPr>
          <w:szCs w:val="24"/>
        </w:rPr>
      </w:pPr>
      <w:r>
        <w:rPr>
          <w:szCs w:val="24"/>
        </w:rPr>
        <w:t>Smluvní strany se dohodly, že kupní cenu bude kupující hradit v české měně na základě daňového dokladu (faktury).</w:t>
      </w:r>
    </w:p>
    <w:p w:rsidR="00CE4102" w:rsidRDefault="002031CD">
      <w:pPr>
        <w:numPr>
          <w:ilvl w:val="0"/>
          <w:numId w:val="25"/>
        </w:numPr>
        <w:spacing w:line="276" w:lineRule="auto"/>
        <w:ind w:left="360"/>
        <w:jc w:val="both"/>
        <w:rPr>
          <w:szCs w:val="24"/>
        </w:rPr>
      </w:pPr>
      <w:r>
        <w:rPr>
          <w:szCs w:val="24"/>
        </w:rPr>
        <w:t>Daňový doklad – faktura bude splatný do 30 dnů od jeho doručení kupujícímu prostřednictvím datové schránky nebo e-mailem na adresu epodatelna@jihlava-city.cz.</w:t>
      </w:r>
    </w:p>
    <w:p w:rsidR="00CE4102" w:rsidRDefault="002031CD">
      <w:pPr>
        <w:numPr>
          <w:ilvl w:val="0"/>
          <w:numId w:val="25"/>
        </w:numPr>
        <w:spacing w:line="276" w:lineRule="auto"/>
        <w:ind w:left="360"/>
        <w:jc w:val="both"/>
        <w:rPr>
          <w:szCs w:val="24"/>
        </w:rPr>
      </w:pPr>
      <w:r>
        <w:rPr>
          <w:szCs w:val="24"/>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w:t>
      </w:r>
      <w:r>
        <w:rPr>
          <w:szCs w:val="24"/>
        </w:rPr>
        <w:lastRenderedPageBreak/>
        <w:t xml:space="preserve">splatností. Lhůta splatnosti počíná běžet znovu od opětovného zaslání náležitě doplněného či opraveného dokladu. </w:t>
      </w:r>
    </w:p>
    <w:p w:rsidR="00CE4102" w:rsidRDefault="002031CD">
      <w:pPr>
        <w:numPr>
          <w:ilvl w:val="0"/>
          <w:numId w:val="25"/>
        </w:numPr>
        <w:spacing w:line="276" w:lineRule="auto"/>
        <w:ind w:left="360"/>
        <w:jc w:val="both"/>
        <w:rPr>
          <w:szCs w:val="24"/>
        </w:rPr>
      </w:pPr>
      <w:r>
        <w:rPr>
          <w:szCs w:val="24"/>
        </w:rPr>
        <w:t>Daňový doklad – faktura je považována za proplacenou okamžikem odepsání příslušné částky z účtu kupujícího.</w:t>
      </w:r>
    </w:p>
    <w:p w:rsidR="00CE4102" w:rsidRDefault="002031CD">
      <w:pPr>
        <w:numPr>
          <w:ilvl w:val="0"/>
          <w:numId w:val="25"/>
        </w:numPr>
        <w:spacing w:line="276" w:lineRule="auto"/>
        <w:ind w:left="360"/>
        <w:jc w:val="both"/>
        <w:rPr>
          <w:szCs w:val="24"/>
        </w:rPr>
      </w:pPr>
      <w:r>
        <w:rPr>
          <w:szCs w:val="24"/>
        </w:rPr>
        <w:t>Daňový doklad – faktura bude vystavena po řádném ukončení plnění, tj. po podpisu dodacího listu, v případě vad a nedodělků po podpisu zápisu o úplném odstranění zjištěných vad a nedodělků.</w:t>
      </w:r>
    </w:p>
    <w:p w:rsidR="00CE4102" w:rsidRDefault="002031CD">
      <w:pPr>
        <w:numPr>
          <w:ilvl w:val="0"/>
          <w:numId w:val="25"/>
        </w:numPr>
        <w:spacing w:line="276" w:lineRule="auto"/>
        <w:ind w:left="360"/>
        <w:jc w:val="both"/>
        <w:rPr>
          <w:szCs w:val="24"/>
        </w:rPr>
      </w:pPr>
      <w:r>
        <w:rPr>
          <w:szCs w:val="24"/>
        </w:rPr>
        <w:t>Kupující nebude poskytovat prodávajícímu jakékoliv zálohy.</w:t>
      </w:r>
    </w:p>
    <w:p w:rsidR="00CE4102" w:rsidRDefault="00CE4102">
      <w:pPr>
        <w:spacing w:line="276" w:lineRule="auto"/>
        <w:jc w:val="center"/>
        <w:rPr>
          <w:rFonts w:eastAsia="Arial"/>
          <w:b/>
          <w:bCs/>
          <w:szCs w:val="24"/>
        </w:rPr>
      </w:pPr>
    </w:p>
    <w:p w:rsidR="00CE4102" w:rsidRDefault="002031CD">
      <w:pPr>
        <w:spacing w:line="276" w:lineRule="auto"/>
        <w:jc w:val="center"/>
        <w:rPr>
          <w:rFonts w:eastAsia="Arial"/>
          <w:b/>
          <w:bCs/>
          <w:szCs w:val="24"/>
        </w:rPr>
      </w:pPr>
      <w:r>
        <w:rPr>
          <w:rFonts w:eastAsia="Arial"/>
          <w:b/>
          <w:bCs/>
          <w:szCs w:val="24"/>
        </w:rPr>
        <w:t>III.</w:t>
      </w:r>
    </w:p>
    <w:p w:rsidR="00CE4102" w:rsidRDefault="002031CD">
      <w:pPr>
        <w:spacing w:after="120" w:line="276" w:lineRule="auto"/>
        <w:jc w:val="center"/>
        <w:rPr>
          <w:rFonts w:eastAsia="Arial"/>
          <w:b/>
          <w:bCs/>
          <w:szCs w:val="24"/>
        </w:rPr>
      </w:pPr>
      <w:r>
        <w:rPr>
          <w:rFonts w:eastAsia="Arial"/>
          <w:b/>
          <w:bCs/>
          <w:szCs w:val="24"/>
        </w:rPr>
        <w:t>Místo a termín plnění</w:t>
      </w:r>
    </w:p>
    <w:p w:rsidR="00CE4102" w:rsidRDefault="002031CD">
      <w:pPr>
        <w:numPr>
          <w:ilvl w:val="0"/>
          <w:numId w:val="20"/>
        </w:numPr>
        <w:spacing w:line="276" w:lineRule="auto"/>
        <w:ind w:left="360"/>
        <w:jc w:val="both"/>
        <w:rPr>
          <w:szCs w:val="24"/>
        </w:rPr>
      </w:pPr>
      <w:r>
        <w:rPr>
          <w:szCs w:val="24"/>
        </w:rPr>
        <w:t>Prodávající kupujícímu odevzdá předmět koupě, jakož i doklady, které se k věci vztahují, a umožní kupujícímu nabýt k němu vlastnické právo v souladu s touto smlouvou.</w:t>
      </w:r>
    </w:p>
    <w:p w:rsidR="00CE4102" w:rsidRDefault="002031CD">
      <w:pPr>
        <w:numPr>
          <w:ilvl w:val="0"/>
          <w:numId w:val="20"/>
        </w:numPr>
        <w:spacing w:line="276" w:lineRule="auto"/>
        <w:ind w:left="360"/>
        <w:jc w:val="both"/>
        <w:rPr>
          <w:szCs w:val="24"/>
        </w:rPr>
      </w:pPr>
      <w:r>
        <w:rPr>
          <w:szCs w:val="24"/>
        </w:rPr>
        <w:t>Prodávající splní svou povinnost odevzdat věc kupujícímu, umožní-li mu nakládat s věcí v místě plnění.</w:t>
      </w:r>
    </w:p>
    <w:p w:rsidR="00CE4102" w:rsidRDefault="002031CD">
      <w:pPr>
        <w:numPr>
          <w:ilvl w:val="0"/>
          <w:numId w:val="20"/>
        </w:numPr>
        <w:spacing w:line="276" w:lineRule="auto"/>
        <w:ind w:left="360"/>
        <w:jc w:val="both"/>
        <w:rPr>
          <w:b/>
          <w:szCs w:val="24"/>
        </w:rPr>
      </w:pPr>
      <w:r>
        <w:rPr>
          <w:szCs w:val="24"/>
        </w:rPr>
        <w:t>Smluvní strany se dohodly, že místem plnění je Magistrát města Jihlavy, Masarykovo náměstí 97/1, 586 01 Jihlava.</w:t>
      </w:r>
    </w:p>
    <w:p w:rsidR="00CE4102" w:rsidRDefault="002031CD">
      <w:pPr>
        <w:numPr>
          <w:ilvl w:val="0"/>
          <w:numId w:val="20"/>
        </w:numPr>
        <w:spacing w:line="276" w:lineRule="auto"/>
        <w:ind w:left="360"/>
        <w:jc w:val="both"/>
        <w:rPr>
          <w:szCs w:val="24"/>
        </w:rPr>
      </w:pPr>
      <w:r>
        <w:rPr>
          <w:szCs w:val="24"/>
        </w:rPr>
        <w:t>Prodávající započne s plněním zakázky bez zbytečného odkladu po uzavření Smlouvy.</w:t>
      </w:r>
    </w:p>
    <w:p w:rsidR="00CE4102" w:rsidRDefault="002031CD">
      <w:pPr>
        <w:numPr>
          <w:ilvl w:val="0"/>
          <w:numId w:val="20"/>
        </w:numPr>
        <w:spacing w:line="276" w:lineRule="auto"/>
        <w:ind w:left="360"/>
        <w:jc w:val="both"/>
        <w:rPr>
          <w:szCs w:val="24"/>
        </w:rPr>
      </w:pPr>
      <w:r>
        <w:rPr>
          <w:szCs w:val="24"/>
        </w:rPr>
        <w:t>Termín dokončení plnění zakázky včetně fakturace je 27. 11. 2025.</w:t>
      </w:r>
    </w:p>
    <w:p w:rsidR="00CE4102" w:rsidRDefault="00CE4102"/>
    <w:p w:rsidR="00CE4102" w:rsidRDefault="002031CD">
      <w:pPr>
        <w:spacing w:line="276" w:lineRule="auto"/>
        <w:jc w:val="center"/>
        <w:rPr>
          <w:rFonts w:eastAsia="Arial"/>
          <w:b/>
          <w:bCs/>
          <w:szCs w:val="24"/>
        </w:rPr>
      </w:pPr>
      <w:r>
        <w:rPr>
          <w:rFonts w:eastAsia="Arial"/>
          <w:b/>
          <w:bCs/>
          <w:szCs w:val="24"/>
        </w:rPr>
        <w:t>IV.</w:t>
      </w:r>
    </w:p>
    <w:p w:rsidR="00CE4102" w:rsidRDefault="002031CD">
      <w:pPr>
        <w:spacing w:after="120" w:line="276" w:lineRule="auto"/>
        <w:jc w:val="center"/>
        <w:rPr>
          <w:rFonts w:eastAsia="Arial"/>
          <w:b/>
          <w:bCs/>
          <w:szCs w:val="24"/>
        </w:rPr>
      </w:pPr>
      <w:r>
        <w:rPr>
          <w:rFonts w:eastAsia="Arial"/>
          <w:b/>
          <w:bCs/>
          <w:szCs w:val="24"/>
        </w:rPr>
        <w:t>Ostatní ujednání</w:t>
      </w:r>
    </w:p>
    <w:p w:rsidR="00CE4102" w:rsidRDefault="002031CD">
      <w:pPr>
        <w:numPr>
          <w:ilvl w:val="0"/>
          <w:numId w:val="27"/>
        </w:numPr>
        <w:spacing w:line="276" w:lineRule="auto"/>
        <w:jc w:val="both"/>
        <w:rPr>
          <w:szCs w:val="24"/>
        </w:rPr>
      </w:pPr>
      <w:r>
        <w:rPr>
          <w:szCs w:val="24"/>
        </w:rPr>
        <w:t xml:space="preserve">Nebezpečí škody přechází na kupujícího převzetím předmětu koupě.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dodávky předmětu koupě smluvní pokutu ve výši 0,001% z ceny nedodaného zboží bez DPH za každý i započatý den prodlení.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odstranění vad v záruční době smluvní pokutu ve výši 0,001% z ceny reklamovaného zboží bez DPH za každý i započatý den prodlení. </w:t>
      </w:r>
    </w:p>
    <w:p w:rsidR="00CE4102" w:rsidRDefault="002031CD">
      <w:pPr>
        <w:numPr>
          <w:ilvl w:val="0"/>
          <w:numId w:val="27"/>
        </w:numPr>
        <w:spacing w:line="276" w:lineRule="auto"/>
        <w:jc w:val="both"/>
        <w:rPr>
          <w:b/>
          <w:szCs w:val="24"/>
        </w:rPr>
      </w:pPr>
      <w:r>
        <w:rPr>
          <w:szCs w:val="24"/>
        </w:rPr>
        <w:t xml:space="preserve">Kupující se zavazuje, že zaplatí úrok z prodlení v případě prodlení se zaplacením kupní ceny ve výši stanovené nařízením vlády č. 351/2013 Sb., o výši úroků z prodlení a nákladů spojených s uplatněním pohledávky v platném znění. </w:t>
      </w:r>
    </w:p>
    <w:p w:rsidR="00CE4102" w:rsidRDefault="002031CD">
      <w:pPr>
        <w:numPr>
          <w:ilvl w:val="0"/>
          <w:numId w:val="27"/>
        </w:numPr>
        <w:spacing w:line="276" w:lineRule="auto"/>
        <w:jc w:val="both"/>
        <w:rPr>
          <w:szCs w:val="24"/>
        </w:rPr>
      </w:pPr>
      <w:r>
        <w:rPr>
          <w:szCs w:val="24"/>
        </w:rPr>
        <w:t>Zaplacením smluvní pokuty není dotčeno právo na náhradu případné škody.</w:t>
      </w:r>
    </w:p>
    <w:p w:rsidR="00CE4102" w:rsidRDefault="002031CD">
      <w:pPr>
        <w:numPr>
          <w:ilvl w:val="0"/>
          <w:numId w:val="27"/>
        </w:numPr>
        <w:spacing w:line="276" w:lineRule="auto"/>
        <w:jc w:val="both"/>
        <w:rPr>
          <w:szCs w:val="24"/>
        </w:rPr>
      </w:pPr>
      <w:r>
        <w:rPr>
          <w:szCs w:val="24"/>
        </w:rPr>
        <w:t>Za případné škody vzniklé činností prodávajícího na majetku kupujícího, na samotném předmětu koupě a na majetku třetích osob odpovídá prodávající.</w:t>
      </w:r>
    </w:p>
    <w:p w:rsidR="00CE4102" w:rsidRDefault="002031CD">
      <w:pPr>
        <w:numPr>
          <w:ilvl w:val="0"/>
          <w:numId w:val="27"/>
        </w:numPr>
        <w:spacing w:line="276" w:lineRule="auto"/>
        <w:jc w:val="both"/>
      </w:pPr>
      <w:r>
        <w:rPr>
          <w:szCs w:val="24"/>
        </w:rPr>
        <w:t>Všechny činnosti spojené s dodávkou předmětu koupě budou prováděny tak, aby nedošlo k poškození cizího majetku.</w:t>
      </w:r>
    </w:p>
    <w:p w:rsidR="00CE4102" w:rsidRDefault="00CE4102">
      <w:pPr>
        <w:spacing w:line="276" w:lineRule="auto"/>
        <w:ind w:left="360"/>
        <w:jc w:val="both"/>
      </w:pPr>
    </w:p>
    <w:p w:rsidR="00CE4102" w:rsidRDefault="002031CD">
      <w:pPr>
        <w:spacing w:line="276" w:lineRule="auto"/>
        <w:jc w:val="center"/>
        <w:rPr>
          <w:rFonts w:eastAsia="Arial"/>
          <w:b/>
          <w:szCs w:val="24"/>
        </w:rPr>
      </w:pPr>
      <w:r>
        <w:rPr>
          <w:rFonts w:eastAsia="Arial"/>
          <w:b/>
          <w:szCs w:val="24"/>
        </w:rPr>
        <w:t>V.</w:t>
      </w:r>
    </w:p>
    <w:p w:rsidR="00CE4102" w:rsidRDefault="002031CD">
      <w:pPr>
        <w:spacing w:after="120" w:line="276" w:lineRule="auto"/>
        <w:jc w:val="center"/>
        <w:rPr>
          <w:rFonts w:eastAsia="Arial"/>
          <w:b/>
          <w:bCs/>
          <w:szCs w:val="24"/>
        </w:rPr>
      </w:pPr>
      <w:r>
        <w:rPr>
          <w:rFonts w:eastAsia="Arial"/>
          <w:b/>
          <w:bCs/>
          <w:szCs w:val="24"/>
        </w:rPr>
        <w:t>Záruka a záruční servis</w:t>
      </w:r>
    </w:p>
    <w:p w:rsidR="00CE4102" w:rsidRDefault="002031CD">
      <w:pPr>
        <w:numPr>
          <w:ilvl w:val="0"/>
          <w:numId w:val="28"/>
        </w:numPr>
        <w:spacing w:line="276" w:lineRule="auto"/>
        <w:jc w:val="both"/>
        <w:rPr>
          <w:szCs w:val="24"/>
        </w:rPr>
      </w:pPr>
      <w:r>
        <w:rPr>
          <w:szCs w:val="24"/>
        </w:rPr>
        <w:t>Prodávající poskytuje na předmět koupě záruku v délce nejméně 24 měsíců.</w:t>
      </w:r>
    </w:p>
    <w:p w:rsidR="00CE4102" w:rsidRDefault="002031CD">
      <w:pPr>
        <w:numPr>
          <w:ilvl w:val="0"/>
          <w:numId w:val="28"/>
        </w:numPr>
        <w:spacing w:line="276" w:lineRule="auto"/>
        <w:jc w:val="both"/>
        <w:rPr>
          <w:szCs w:val="24"/>
        </w:rPr>
      </w:pPr>
      <w:r>
        <w:rPr>
          <w:szCs w:val="24"/>
        </w:rPr>
        <w:t>Záruční doba počíná plynout dnem podpisu dodacího listu, potvrzujícího předání a převzetí předmětu koupě.</w:t>
      </w:r>
    </w:p>
    <w:p w:rsidR="00CE4102" w:rsidRDefault="002031CD">
      <w:pPr>
        <w:numPr>
          <w:ilvl w:val="0"/>
          <w:numId w:val="28"/>
        </w:numPr>
        <w:spacing w:line="276" w:lineRule="auto"/>
        <w:rPr>
          <w:szCs w:val="24"/>
        </w:rPr>
      </w:pPr>
      <w:r>
        <w:rPr>
          <w:szCs w:val="24"/>
        </w:rPr>
        <w:t xml:space="preserve">Vady předmětu koupě kupující uplatní u prodávajícího e-mailem na adresu: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numPr>
          <w:ilvl w:val="0"/>
          <w:numId w:val="28"/>
        </w:numPr>
        <w:spacing w:line="276" w:lineRule="auto"/>
        <w:jc w:val="both"/>
        <w:rPr>
          <w:szCs w:val="24"/>
        </w:rPr>
      </w:pPr>
      <w:r>
        <w:rPr>
          <w:szCs w:val="24"/>
        </w:rPr>
        <w:t xml:space="preserve">Prodávající se zavazuje obratem potvrdit přijetí e-mailu. Nepotvrdí-li prodávající obratem přijetí e-mailu (nefunkčnost e-mailové pošty), kupující uplatní vady telefonicky na čísle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szCs w:val="24"/>
        </w:rPr>
        <w:t>.</w:t>
      </w:r>
    </w:p>
    <w:p w:rsidR="00CE4102" w:rsidRDefault="002031CD">
      <w:pPr>
        <w:numPr>
          <w:ilvl w:val="0"/>
          <w:numId w:val="28"/>
        </w:numPr>
        <w:spacing w:line="276" w:lineRule="auto"/>
        <w:jc w:val="both"/>
        <w:rPr>
          <w:szCs w:val="24"/>
        </w:rPr>
      </w:pPr>
      <w:r>
        <w:rPr>
          <w:szCs w:val="24"/>
        </w:rPr>
        <w:t>Prodávající odstraní vady předmětu koupě v souladu s podmínkami sjednané záruky.</w:t>
      </w:r>
    </w:p>
    <w:p w:rsidR="00CE4102" w:rsidRDefault="002031CD">
      <w:pPr>
        <w:numPr>
          <w:ilvl w:val="0"/>
          <w:numId w:val="28"/>
        </w:numPr>
        <w:spacing w:line="276" w:lineRule="auto"/>
        <w:jc w:val="both"/>
        <w:rPr>
          <w:szCs w:val="24"/>
        </w:rPr>
      </w:pPr>
      <w:r>
        <w:rPr>
          <w:szCs w:val="24"/>
        </w:rPr>
        <w:t>Záruční lhůty na reklamovanou část předmětu koupě se prodlužují o dobu počínající dnem uplatnění reklamace a končí dnem odstranění vady prodávajícím.</w:t>
      </w:r>
    </w:p>
    <w:p w:rsidR="00CE4102" w:rsidRDefault="00CE4102">
      <w:pPr>
        <w:spacing w:after="120" w:line="276" w:lineRule="auto"/>
        <w:jc w:val="both"/>
        <w:rPr>
          <w:rFonts w:eastAsia="Arial"/>
          <w:szCs w:val="24"/>
        </w:rPr>
      </w:pPr>
    </w:p>
    <w:p w:rsidR="00CE4102" w:rsidRDefault="00CE4102">
      <w:pPr>
        <w:spacing w:after="120" w:line="276" w:lineRule="auto"/>
        <w:jc w:val="both"/>
        <w:rPr>
          <w:rFonts w:eastAsia="Arial"/>
          <w:szCs w:val="24"/>
        </w:rPr>
      </w:pPr>
    </w:p>
    <w:p w:rsidR="00CE4102" w:rsidRDefault="002031CD">
      <w:pPr>
        <w:spacing w:line="276" w:lineRule="auto"/>
        <w:jc w:val="center"/>
        <w:rPr>
          <w:rFonts w:eastAsia="Arial"/>
          <w:b/>
          <w:szCs w:val="24"/>
        </w:rPr>
      </w:pPr>
      <w:r>
        <w:rPr>
          <w:rFonts w:eastAsia="Arial"/>
          <w:b/>
          <w:szCs w:val="24"/>
        </w:rPr>
        <w:lastRenderedPageBreak/>
        <w:t>VI.</w:t>
      </w:r>
    </w:p>
    <w:p w:rsidR="00CE4102" w:rsidRDefault="002031CD">
      <w:pPr>
        <w:spacing w:after="120" w:line="276" w:lineRule="auto"/>
        <w:jc w:val="center"/>
        <w:rPr>
          <w:rFonts w:eastAsia="Arial"/>
          <w:b/>
          <w:bCs/>
          <w:szCs w:val="24"/>
        </w:rPr>
      </w:pPr>
      <w:r>
        <w:rPr>
          <w:rFonts w:eastAsia="Arial"/>
          <w:b/>
          <w:bCs/>
          <w:szCs w:val="24"/>
        </w:rPr>
        <w:t>Závěrečná ujednání</w:t>
      </w:r>
    </w:p>
    <w:p w:rsidR="00CE4102" w:rsidRDefault="002031CD">
      <w:pPr>
        <w:numPr>
          <w:ilvl w:val="0"/>
          <w:numId w:val="23"/>
        </w:numPr>
        <w:spacing w:line="276" w:lineRule="auto"/>
        <w:jc w:val="both"/>
        <w:rPr>
          <w:szCs w:val="24"/>
        </w:rPr>
      </w:pPr>
      <w:r>
        <w:rPr>
          <w:szCs w:val="24"/>
        </w:rPr>
        <w:t xml:space="preserve">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vládní či regulační opatření a přírodní katastrofy. Kterákoliv smluvní strana je oprávněna v takovém případě plnit svůj závazek v přiměřeně prodloužené lhůtě, tj. lhůtě, po kterou trvala vyšší moc; pokud však takové okolnosti trvají déle než 60 dnů, může kterákoliv smluvní strana prostřednictvím písemného oznámení od smlouvy odstoupit, aniž by byla povinna poskytnout druhé smluvní straně kompenzaci. </w:t>
      </w:r>
    </w:p>
    <w:p w:rsidR="00CE4102" w:rsidRDefault="002031CD">
      <w:pPr>
        <w:numPr>
          <w:ilvl w:val="0"/>
          <w:numId w:val="23"/>
        </w:numPr>
        <w:spacing w:line="276" w:lineRule="auto"/>
        <w:jc w:val="both"/>
        <w:rPr>
          <w:bCs/>
          <w:szCs w:val="24"/>
        </w:rPr>
      </w:pPr>
      <w:r>
        <w:rPr>
          <w:bCs/>
          <w:szCs w:val="24"/>
        </w:rPr>
        <w:t xml:space="preserve">Tato Smlouva a veškeré otázky s ní související, jakožto i otázky platnosti smlouvy, se řídí občanským zákoníkem. </w:t>
      </w:r>
    </w:p>
    <w:p w:rsidR="00CE4102" w:rsidRDefault="002031CD">
      <w:pPr>
        <w:numPr>
          <w:ilvl w:val="0"/>
          <w:numId w:val="23"/>
        </w:numPr>
        <w:spacing w:line="276" w:lineRule="auto"/>
        <w:jc w:val="both"/>
        <w:rPr>
          <w:szCs w:val="24"/>
        </w:rPr>
      </w:pPr>
      <w:r>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zahájených kteroukoli z nich takovéto neplatné nebo neúčinné ustanovení jiným platným a účinným ustanovením, které bude nejvěrněji odpovídat podstatě a smyslu původního neplatného či neúčinného ustanovení.</w:t>
      </w:r>
    </w:p>
    <w:p w:rsidR="00CE4102" w:rsidRDefault="002031CD">
      <w:pPr>
        <w:numPr>
          <w:ilvl w:val="0"/>
          <w:numId w:val="23"/>
        </w:numPr>
        <w:spacing w:line="276" w:lineRule="auto"/>
        <w:jc w:val="both"/>
        <w:rPr>
          <w:szCs w:val="24"/>
        </w:rPr>
      </w:pPr>
      <w:r>
        <w:rPr>
          <w:szCs w:val="24"/>
        </w:rPr>
        <w:t>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CE4102" w:rsidRDefault="002031CD">
      <w:pPr>
        <w:numPr>
          <w:ilvl w:val="0"/>
          <w:numId w:val="23"/>
        </w:numPr>
        <w:spacing w:line="276" w:lineRule="auto"/>
        <w:jc w:val="both"/>
        <w:rPr>
          <w:szCs w:val="24"/>
        </w:rPr>
      </w:pPr>
      <w:r>
        <w:rPr>
          <w:szCs w:val="24"/>
        </w:rPr>
        <w:t>Tato smlouva je sepsána ve 3 vyhotoveních s platností originálu, z nichž 1 obdrží prodávající a 2 kupující. Toto ustanovení neplatí v případě, že bude Smlouva podepsána elektronickým způsobem.</w:t>
      </w:r>
    </w:p>
    <w:p w:rsidR="00CE4102" w:rsidRDefault="002031CD">
      <w:pPr>
        <w:numPr>
          <w:ilvl w:val="0"/>
          <w:numId w:val="23"/>
        </w:numPr>
        <w:spacing w:line="276" w:lineRule="auto"/>
        <w:jc w:val="both"/>
        <w:rPr>
          <w:szCs w:val="24"/>
        </w:rPr>
      </w:pPr>
      <w:r>
        <w:rPr>
          <w:szCs w:val="24"/>
        </w:rPr>
        <w:t>Smlouva nabývá platnosti dnem podpisu smluvními stranami a účinnosti dnem uveřejnění smlouvy v registru smluv, není-li ve smlouvě stanovena účinnost pozdější.</w:t>
      </w:r>
    </w:p>
    <w:p w:rsidR="00CE4102" w:rsidRDefault="002031CD">
      <w:pPr>
        <w:numPr>
          <w:ilvl w:val="0"/>
          <w:numId w:val="23"/>
        </w:numPr>
        <w:spacing w:line="276" w:lineRule="auto"/>
        <w:jc w:val="both"/>
        <w:rPr>
          <w:szCs w:val="24"/>
        </w:rPr>
      </w:pPr>
      <w:r>
        <w:rPr>
          <w:szCs w:val="24"/>
        </w:rPr>
        <w:t>Uveřejnění smlouvy v registru smluv v souladu s právními předpisy zajistí kupující.</w:t>
      </w:r>
    </w:p>
    <w:p w:rsidR="00CE4102" w:rsidRDefault="002031CD">
      <w:pPr>
        <w:numPr>
          <w:ilvl w:val="0"/>
          <w:numId w:val="23"/>
        </w:numPr>
        <w:spacing w:line="276" w:lineRule="auto"/>
        <w:jc w:val="both"/>
        <w:rPr>
          <w:szCs w:val="24"/>
        </w:rPr>
      </w:pPr>
      <w:r>
        <w:rPr>
          <w:szCs w:val="24"/>
        </w:rPr>
        <w:t>Smluvní strany souhlasí s uveřejněním této smlouvy v plném rozsahu a všech jejích budoucích dodatků.</w:t>
      </w:r>
    </w:p>
    <w:p w:rsidR="00CE4102" w:rsidRDefault="002031CD">
      <w:pPr>
        <w:numPr>
          <w:ilvl w:val="0"/>
          <w:numId w:val="23"/>
        </w:numPr>
        <w:spacing w:line="276" w:lineRule="auto"/>
        <w:jc w:val="both"/>
        <w:rPr>
          <w:szCs w:val="24"/>
        </w:rPr>
      </w:pPr>
      <w:r>
        <w:rPr>
          <w:szCs w:val="24"/>
        </w:rPr>
        <w:t>Smlouvu lze měnit jen formou písemných dodatků podepsaných oběma smluvními stranami.</w:t>
      </w:r>
    </w:p>
    <w:p w:rsidR="00CE4102" w:rsidRDefault="002031CD">
      <w:pPr>
        <w:numPr>
          <w:ilvl w:val="0"/>
          <w:numId w:val="23"/>
        </w:numPr>
        <w:spacing w:line="276" w:lineRule="auto"/>
        <w:jc w:val="both"/>
        <w:rPr>
          <w:szCs w:val="24"/>
        </w:rPr>
      </w:pPr>
      <w:r>
        <w:rPr>
          <w:szCs w:val="24"/>
        </w:rPr>
        <w:t xml:space="preserve">Smluvní strany prohlašují, že si tuto Smlouvu pozorně přečetly a že je jim její obsah jasný a srozumitelný. </w:t>
      </w:r>
    </w:p>
    <w:p w:rsidR="00CE4102" w:rsidRDefault="002031CD">
      <w:pPr>
        <w:numPr>
          <w:ilvl w:val="0"/>
          <w:numId w:val="23"/>
        </w:numPr>
        <w:spacing w:line="276" w:lineRule="auto"/>
        <w:jc w:val="both"/>
        <w:rPr>
          <w:szCs w:val="24"/>
        </w:rPr>
      </w:pPr>
      <w:r>
        <w:rPr>
          <w:szCs w:val="24"/>
        </w:rPr>
        <w:t>Na důkaz toho, že celý obsah Smlouvy je projevem jejich pravé a svobodné vůle, připojují Smluvní strany své vlastnoruční podpisy.</w:t>
      </w:r>
    </w:p>
    <w:p w:rsidR="00CE4102" w:rsidRDefault="002031CD">
      <w:pPr>
        <w:numPr>
          <w:ilvl w:val="0"/>
          <w:numId w:val="23"/>
        </w:numPr>
        <w:spacing w:line="276" w:lineRule="auto"/>
        <w:jc w:val="both"/>
        <w:rPr>
          <w:szCs w:val="24"/>
        </w:rPr>
      </w:pPr>
      <w:r>
        <w:rPr>
          <w:szCs w:val="24"/>
        </w:rPr>
        <w:t xml:space="preserve">Pro účely této Smlouvy se bere za doručený takový právní úkon, který nebyl po uložení zásilky vyzvednut druhou smluvní stranou ve lhůtě 10-ti dnů. </w:t>
      </w:r>
    </w:p>
    <w:p w:rsidR="00CE4102" w:rsidRDefault="002031CD">
      <w:pPr>
        <w:numPr>
          <w:ilvl w:val="0"/>
          <w:numId w:val="23"/>
        </w:numPr>
        <w:spacing w:line="276" w:lineRule="auto"/>
        <w:jc w:val="both"/>
        <w:rPr>
          <w:szCs w:val="24"/>
        </w:rPr>
      </w:pPr>
      <w:r>
        <w:rPr>
          <w:szCs w:val="24"/>
        </w:rPr>
        <w:t xml:space="preserve">Nedílnou součástí této kupní smlouvy je Příloha č. 1 Výpočet jednotkových cen. </w:t>
      </w:r>
    </w:p>
    <w:p w:rsidR="00CE4102" w:rsidRDefault="00CE4102">
      <w:pPr>
        <w:spacing w:line="276" w:lineRule="auto"/>
        <w:rPr>
          <w:rFonts w:eastAsia="Arial"/>
          <w:szCs w:val="24"/>
        </w:rPr>
      </w:pPr>
    </w:p>
    <w:p w:rsidR="00CE4102" w:rsidRDefault="002031CD">
      <w:pPr>
        <w:tabs>
          <w:tab w:val="center" w:pos="2268"/>
          <w:tab w:val="left" w:pos="5610"/>
          <w:tab w:val="center" w:pos="7371"/>
        </w:tabs>
        <w:spacing w:line="276" w:lineRule="auto"/>
        <w:rPr>
          <w:rFonts w:eastAsia="Arial"/>
          <w:szCs w:val="24"/>
        </w:rPr>
      </w:pPr>
      <w:r>
        <w:rPr>
          <w:rFonts w:eastAsia="Arial"/>
          <w:szCs w:val="24"/>
        </w:rPr>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r>
        <w:rPr>
          <w:rFonts w:eastAsia="Arial"/>
          <w:szCs w:val="24"/>
        </w:rPr>
        <w:tab/>
      </w:r>
      <w:r>
        <w:rPr>
          <w:rFonts w:eastAsia="Arial"/>
          <w:szCs w:val="24"/>
        </w:rPr>
        <w:tab/>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p>
    <w:p w:rsidR="00CE4102" w:rsidRDefault="00CE4102">
      <w:pPr>
        <w:tabs>
          <w:tab w:val="center" w:pos="2268"/>
          <w:tab w:val="center" w:pos="7371"/>
        </w:tabs>
        <w:spacing w:line="276" w:lineRule="auto"/>
        <w:rPr>
          <w:rFonts w:eastAsia="Arial"/>
          <w:szCs w:val="24"/>
        </w:rPr>
      </w:pPr>
    </w:p>
    <w:p w:rsidR="00CE4102" w:rsidRDefault="00CE4102">
      <w:pPr>
        <w:tabs>
          <w:tab w:val="center" w:pos="2268"/>
          <w:tab w:val="center" w:pos="7371"/>
        </w:tabs>
        <w:spacing w:line="276" w:lineRule="auto"/>
        <w:rPr>
          <w:rFonts w:eastAsia="Arial"/>
          <w:szCs w:val="24"/>
        </w:rPr>
      </w:pPr>
    </w:p>
    <w:p w:rsidR="00CE4102" w:rsidRDefault="002031CD">
      <w:pPr>
        <w:tabs>
          <w:tab w:val="center" w:pos="2268"/>
          <w:tab w:val="center" w:pos="7371"/>
        </w:tabs>
        <w:spacing w:line="276" w:lineRule="auto"/>
        <w:rPr>
          <w:rFonts w:eastAsia="Arial"/>
          <w:szCs w:val="24"/>
        </w:rPr>
      </w:pPr>
      <w:r>
        <w:rPr>
          <w:rFonts w:eastAsia="Arial"/>
          <w:szCs w:val="24"/>
        </w:rPr>
        <w:tab/>
        <w:t xml:space="preserve"> .......................................................</w:t>
      </w:r>
      <w:r>
        <w:rPr>
          <w:rFonts w:eastAsia="Arial"/>
          <w:szCs w:val="24"/>
        </w:rPr>
        <w:tab/>
        <w:t>.......................................................</w:t>
      </w:r>
    </w:p>
    <w:p w:rsidR="00CE4102" w:rsidRDefault="002031CD">
      <w:pPr>
        <w:tabs>
          <w:tab w:val="center" w:pos="2268"/>
          <w:tab w:val="center" w:pos="7371"/>
        </w:tabs>
        <w:spacing w:line="276" w:lineRule="auto"/>
        <w:rPr>
          <w:rFonts w:eastAsia="Arial"/>
          <w:szCs w:val="24"/>
        </w:rPr>
      </w:pPr>
      <w:r>
        <w:rPr>
          <w:rFonts w:eastAsia="Arial"/>
          <w:szCs w:val="24"/>
        </w:rPr>
        <w:tab/>
        <w:t>Prodávající</w:t>
      </w:r>
      <w:r>
        <w:rPr>
          <w:rFonts w:eastAsia="Arial"/>
          <w:szCs w:val="24"/>
        </w:rPr>
        <w:tab/>
        <w:t>Kupující</w:t>
      </w:r>
    </w:p>
    <w:sectPr w:rsidR="00CE4102">
      <w:footerReference w:type="default" r:id="rId9"/>
      <w:footnotePr>
        <w:pos w:val="beneathText"/>
      </w:footnotePr>
      <w:pgSz w:w="11905" w:h="16837"/>
      <w:pgMar w:top="851" w:right="848" w:bottom="993" w:left="851"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102" w:rsidRDefault="002031CD">
      <w:r>
        <w:separator/>
      </w:r>
    </w:p>
  </w:endnote>
  <w:endnote w:type="continuationSeparator" w:id="0">
    <w:p w:rsidR="00CE4102" w:rsidRDefault="002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default"/>
  </w:font>
  <w:font w:name="Tahoma">
    <w:panose1 w:val="020B060403050404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02" w:rsidRDefault="002031CD">
    <w:pPr>
      <w:pStyle w:val="Zpat"/>
      <w:jc w:val="center"/>
    </w:pPr>
    <w:r>
      <w:fldChar w:fldCharType="begin"/>
    </w:r>
    <w:r>
      <w:instrText>PAGE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102" w:rsidRDefault="002031CD">
      <w:r>
        <w:separator/>
      </w:r>
    </w:p>
  </w:footnote>
  <w:footnote w:type="continuationSeparator" w:id="0">
    <w:p w:rsidR="00CE4102" w:rsidRDefault="0020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4D1"/>
    <w:multiLevelType w:val="multilevel"/>
    <w:tmpl w:val="4A260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F09BA"/>
    <w:multiLevelType w:val="multilevel"/>
    <w:tmpl w:val="CF7EC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F789E"/>
    <w:multiLevelType w:val="multilevel"/>
    <w:tmpl w:val="535EB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657CC"/>
    <w:multiLevelType w:val="multilevel"/>
    <w:tmpl w:val="CFB4CD78"/>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045A0"/>
    <w:multiLevelType w:val="multilevel"/>
    <w:tmpl w:val="B6C07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260339"/>
    <w:multiLevelType w:val="multilevel"/>
    <w:tmpl w:val="B9127188"/>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EE77880"/>
    <w:multiLevelType w:val="multilevel"/>
    <w:tmpl w:val="4254241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27A7414"/>
    <w:multiLevelType w:val="multilevel"/>
    <w:tmpl w:val="09B483D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D5C7D"/>
    <w:multiLevelType w:val="multilevel"/>
    <w:tmpl w:val="DC2E86F4"/>
    <w:lvl w:ilvl="0">
      <w:start w:val="1"/>
      <w:numFmt w:val="decimal"/>
      <w:lvlText w:val="%1."/>
      <w:lvlJc w:val="left"/>
      <w:pPr>
        <w:tabs>
          <w:tab w:val="num" w:pos="3766"/>
        </w:tabs>
        <w:ind w:left="3766" w:hanging="360"/>
      </w:pPr>
      <w:rPr>
        <w:rFonts w:hint="default"/>
      </w:rPr>
    </w:lvl>
    <w:lvl w:ilvl="1">
      <w:start w:val="1"/>
      <w:numFmt w:val="lowerLetter"/>
      <w:lvlText w:val="%2."/>
      <w:lvlJc w:val="left"/>
      <w:pPr>
        <w:tabs>
          <w:tab w:val="num" w:pos="3144"/>
        </w:tabs>
        <w:ind w:left="3144" w:hanging="360"/>
      </w:pPr>
    </w:lvl>
    <w:lvl w:ilvl="2">
      <w:start w:val="1"/>
      <w:numFmt w:val="lowerRoman"/>
      <w:lvlText w:val="%3."/>
      <w:lvlJc w:val="right"/>
      <w:pPr>
        <w:tabs>
          <w:tab w:val="num" w:pos="3864"/>
        </w:tabs>
        <w:ind w:left="3864" w:hanging="180"/>
      </w:pPr>
    </w:lvl>
    <w:lvl w:ilvl="3">
      <w:start w:val="1"/>
      <w:numFmt w:val="decimal"/>
      <w:lvlText w:val="%4."/>
      <w:lvlJc w:val="left"/>
      <w:pPr>
        <w:tabs>
          <w:tab w:val="num" w:pos="4584"/>
        </w:tabs>
        <w:ind w:left="4584" w:hanging="360"/>
      </w:pPr>
    </w:lvl>
    <w:lvl w:ilvl="4">
      <w:start w:val="1"/>
      <w:numFmt w:val="lowerLetter"/>
      <w:lvlText w:val="%5."/>
      <w:lvlJc w:val="left"/>
      <w:pPr>
        <w:tabs>
          <w:tab w:val="num" w:pos="5304"/>
        </w:tabs>
        <w:ind w:left="5304" w:hanging="360"/>
      </w:pPr>
    </w:lvl>
    <w:lvl w:ilvl="5">
      <w:start w:val="1"/>
      <w:numFmt w:val="lowerRoman"/>
      <w:lvlText w:val="%6."/>
      <w:lvlJc w:val="right"/>
      <w:pPr>
        <w:tabs>
          <w:tab w:val="num" w:pos="6024"/>
        </w:tabs>
        <w:ind w:left="6024" w:hanging="180"/>
      </w:pPr>
    </w:lvl>
    <w:lvl w:ilvl="6">
      <w:start w:val="1"/>
      <w:numFmt w:val="decimal"/>
      <w:lvlText w:val="%7."/>
      <w:lvlJc w:val="left"/>
      <w:pPr>
        <w:tabs>
          <w:tab w:val="num" w:pos="6744"/>
        </w:tabs>
        <w:ind w:left="6744" w:hanging="360"/>
      </w:pPr>
    </w:lvl>
    <w:lvl w:ilvl="7">
      <w:start w:val="1"/>
      <w:numFmt w:val="lowerLetter"/>
      <w:lvlText w:val="%8."/>
      <w:lvlJc w:val="left"/>
      <w:pPr>
        <w:tabs>
          <w:tab w:val="num" w:pos="7464"/>
        </w:tabs>
        <w:ind w:left="7464" w:hanging="360"/>
      </w:pPr>
    </w:lvl>
    <w:lvl w:ilvl="8">
      <w:start w:val="1"/>
      <w:numFmt w:val="lowerRoman"/>
      <w:lvlText w:val="%9."/>
      <w:lvlJc w:val="right"/>
      <w:pPr>
        <w:tabs>
          <w:tab w:val="num" w:pos="8184"/>
        </w:tabs>
        <w:ind w:left="8184" w:hanging="180"/>
      </w:pPr>
    </w:lvl>
  </w:abstractNum>
  <w:abstractNum w:abstractNumId="9" w15:restartNumberingAfterBreak="0">
    <w:nsid w:val="1BEF64C5"/>
    <w:multiLevelType w:val="multilevel"/>
    <w:tmpl w:val="717E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474F11"/>
    <w:multiLevelType w:val="multilevel"/>
    <w:tmpl w:val="0AC48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71D30"/>
    <w:multiLevelType w:val="multilevel"/>
    <w:tmpl w:val="D1BE0EA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A3778"/>
    <w:multiLevelType w:val="multilevel"/>
    <w:tmpl w:val="466AAE96"/>
    <w:lvl w:ilvl="0">
      <w:start w:val="1"/>
      <w:numFmt w:val="decimal"/>
      <w:lvlText w:val="%1."/>
      <w:lvlJc w:val="left"/>
      <w:pPr>
        <w:ind w:left="720" w:hanging="360"/>
      </w:pPr>
      <w:rPr>
        <w:rFonts w:hint="default"/>
      </w:rPr>
    </w:lvl>
    <w:lvl w:ilvl="1">
      <w:start w:val="1"/>
      <w:numFmt w:val="lowerLetter"/>
      <w:pStyle w:val="Nadpis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9F52AD"/>
    <w:multiLevelType w:val="multilevel"/>
    <w:tmpl w:val="F850A908"/>
    <w:lvl w:ilvl="0">
      <w:start w:val="1"/>
      <w:numFmt w:val="decimal"/>
      <w:lvlText w:val="%1."/>
      <w:lvlJc w:val="left"/>
      <w:pPr>
        <w:tabs>
          <w:tab w:val="num" w:pos="360"/>
        </w:tabs>
        <w:ind w:left="360" w:hanging="360"/>
      </w:pPr>
      <w:rPr>
        <w:rFonts w:ascii="Calibri Light" w:eastAsia="Times New Roman" w:hAnsi="Calibri Light" w:cs="Calibri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6202A3"/>
    <w:multiLevelType w:val="multilevel"/>
    <w:tmpl w:val="CE2AA5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0C27C7"/>
    <w:multiLevelType w:val="multilevel"/>
    <w:tmpl w:val="4EFA5BB6"/>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6" w15:restartNumberingAfterBreak="0">
    <w:nsid w:val="52375A8B"/>
    <w:multiLevelType w:val="multilevel"/>
    <w:tmpl w:val="B628B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53A96"/>
    <w:multiLevelType w:val="multilevel"/>
    <w:tmpl w:val="9828E694"/>
    <w:lvl w:ilvl="0">
      <w:start w:val="2"/>
      <w:numFmt w:val="bullet"/>
      <w:lvlText w:val="-"/>
      <w:lvlJc w:val="left"/>
      <w:pPr>
        <w:ind w:left="1080" w:hanging="360"/>
      </w:pPr>
      <w:rPr>
        <w:rFonts w:ascii="Arial" w:eastAsia="Arial Unicode MS"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31B7C83"/>
    <w:multiLevelType w:val="multilevel"/>
    <w:tmpl w:val="F7948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231E9"/>
    <w:multiLevelType w:val="multilevel"/>
    <w:tmpl w:val="E0C45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609D9"/>
    <w:multiLevelType w:val="multilevel"/>
    <w:tmpl w:val="F3EE9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96FAA"/>
    <w:multiLevelType w:val="multilevel"/>
    <w:tmpl w:val="3D6E032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F5461A4"/>
    <w:multiLevelType w:val="multilevel"/>
    <w:tmpl w:val="45F8BCF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625E68CA"/>
    <w:multiLevelType w:val="multilevel"/>
    <w:tmpl w:val="D6BA1B9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660B7943"/>
    <w:multiLevelType w:val="multilevel"/>
    <w:tmpl w:val="B0AEB588"/>
    <w:lvl w:ilvl="0">
      <w:start w:val="1"/>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5F7B50"/>
    <w:multiLevelType w:val="multilevel"/>
    <w:tmpl w:val="DEB8C19C"/>
    <w:lvl w:ilvl="0">
      <w:start w:val="1"/>
      <w:numFmt w:val="decimal"/>
      <w:pStyle w:val="Odst1"/>
      <w:lvlText w:val="%1."/>
      <w:lvlJc w:val="left"/>
      <w:pPr>
        <w:tabs>
          <w:tab w:val="num" w:pos="360"/>
        </w:tabs>
        <w:ind w:left="360" w:hanging="360"/>
      </w:pPr>
      <w:rPr>
        <w:rFonts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6C96131D"/>
    <w:multiLevelType w:val="multilevel"/>
    <w:tmpl w:val="C396DC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8"/>
        </w:tabs>
        <w:ind w:left="98" w:hanging="360"/>
      </w:pPr>
    </w:lvl>
    <w:lvl w:ilvl="2">
      <w:start w:val="1"/>
      <w:numFmt w:val="lowerRoman"/>
      <w:lvlText w:val="%3."/>
      <w:lvlJc w:val="right"/>
      <w:pPr>
        <w:tabs>
          <w:tab w:val="num" w:pos="818"/>
        </w:tabs>
        <w:ind w:left="818" w:hanging="180"/>
      </w:pPr>
    </w:lvl>
    <w:lvl w:ilvl="3">
      <w:start w:val="1"/>
      <w:numFmt w:val="decimal"/>
      <w:lvlText w:val="%4."/>
      <w:lvlJc w:val="left"/>
      <w:pPr>
        <w:tabs>
          <w:tab w:val="num" w:pos="1538"/>
        </w:tabs>
        <w:ind w:left="1538" w:hanging="360"/>
      </w:pPr>
    </w:lvl>
    <w:lvl w:ilvl="4">
      <w:start w:val="1"/>
      <w:numFmt w:val="lowerLetter"/>
      <w:lvlText w:val="%5."/>
      <w:lvlJc w:val="left"/>
      <w:pPr>
        <w:tabs>
          <w:tab w:val="num" w:pos="2258"/>
        </w:tabs>
        <w:ind w:left="2258" w:hanging="360"/>
      </w:pPr>
    </w:lvl>
    <w:lvl w:ilvl="5">
      <w:start w:val="1"/>
      <w:numFmt w:val="lowerRoman"/>
      <w:lvlText w:val="%6."/>
      <w:lvlJc w:val="right"/>
      <w:pPr>
        <w:tabs>
          <w:tab w:val="num" w:pos="2978"/>
        </w:tabs>
        <w:ind w:left="2978" w:hanging="180"/>
      </w:pPr>
    </w:lvl>
    <w:lvl w:ilvl="6">
      <w:start w:val="1"/>
      <w:numFmt w:val="decimal"/>
      <w:lvlText w:val="%7."/>
      <w:lvlJc w:val="left"/>
      <w:pPr>
        <w:tabs>
          <w:tab w:val="num" w:pos="3698"/>
        </w:tabs>
        <w:ind w:left="3698" w:hanging="360"/>
      </w:pPr>
    </w:lvl>
    <w:lvl w:ilvl="7">
      <w:start w:val="1"/>
      <w:numFmt w:val="lowerLetter"/>
      <w:lvlText w:val="%8."/>
      <w:lvlJc w:val="left"/>
      <w:pPr>
        <w:tabs>
          <w:tab w:val="num" w:pos="4418"/>
        </w:tabs>
        <w:ind w:left="4418" w:hanging="360"/>
      </w:pPr>
    </w:lvl>
    <w:lvl w:ilvl="8">
      <w:start w:val="1"/>
      <w:numFmt w:val="lowerRoman"/>
      <w:lvlText w:val="%9."/>
      <w:lvlJc w:val="right"/>
      <w:pPr>
        <w:tabs>
          <w:tab w:val="num" w:pos="5138"/>
        </w:tabs>
        <w:ind w:left="5138" w:hanging="180"/>
      </w:pPr>
    </w:lvl>
  </w:abstractNum>
  <w:abstractNum w:abstractNumId="27" w15:restartNumberingAfterBreak="0">
    <w:nsid w:val="6E237A0F"/>
    <w:multiLevelType w:val="multilevel"/>
    <w:tmpl w:val="C324B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D86525"/>
    <w:multiLevelType w:val="multilevel"/>
    <w:tmpl w:val="304C1D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B48F6"/>
    <w:multiLevelType w:val="multilevel"/>
    <w:tmpl w:val="AE0225B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C23C4E"/>
    <w:multiLevelType w:val="multilevel"/>
    <w:tmpl w:val="5792D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08261F"/>
    <w:multiLevelType w:val="multilevel"/>
    <w:tmpl w:val="4ED009CE"/>
    <w:lvl w:ilvl="0">
      <w:start w:val="1"/>
      <w:numFmt w:val="decimal"/>
      <w:lvlText w:val="%1."/>
      <w:lvlJc w:val="left"/>
      <w:pPr>
        <w:tabs>
          <w:tab w:val="num" w:pos="2062"/>
        </w:tabs>
        <w:ind w:left="206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8"/>
  </w:num>
  <w:num w:numId="3">
    <w:abstractNumId w:val="0"/>
  </w:num>
  <w:num w:numId="4">
    <w:abstractNumId w:val="10"/>
  </w:num>
  <w:num w:numId="5">
    <w:abstractNumId w:val="18"/>
  </w:num>
  <w:num w:numId="6">
    <w:abstractNumId w:val="12"/>
  </w:num>
  <w:num w:numId="7">
    <w:abstractNumId w:val="4"/>
  </w:num>
  <w:num w:numId="8">
    <w:abstractNumId w:val="6"/>
  </w:num>
  <w:num w:numId="9">
    <w:abstractNumId w:val="25"/>
  </w:num>
  <w:num w:numId="10">
    <w:abstractNumId w:val="21"/>
  </w:num>
  <w:num w:numId="11">
    <w:abstractNumId w:val="16"/>
  </w:num>
  <w:num w:numId="12">
    <w:abstractNumId w:val="24"/>
  </w:num>
  <w:num w:numId="13">
    <w:abstractNumId w:val="28"/>
  </w:num>
  <w:num w:numId="14">
    <w:abstractNumId w:val="11"/>
  </w:num>
  <w:num w:numId="15">
    <w:abstractNumId w:val="5"/>
  </w:num>
  <w:num w:numId="16">
    <w:abstractNumId w:val="19"/>
  </w:num>
  <w:num w:numId="17">
    <w:abstractNumId w:val="29"/>
  </w:num>
  <w:num w:numId="18">
    <w:abstractNumId w:val="3"/>
  </w:num>
  <w:num w:numId="19">
    <w:abstractNumId w:val="26"/>
  </w:num>
  <w:num w:numId="20">
    <w:abstractNumId w:val="7"/>
  </w:num>
  <w:num w:numId="21">
    <w:abstractNumId w:val="20"/>
  </w:num>
  <w:num w:numId="22">
    <w:abstractNumId w:val="22"/>
  </w:num>
  <w:num w:numId="23">
    <w:abstractNumId w:val="15"/>
  </w:num>
  <w:num w:numId="24">
    <w:abstractNumId w:val="27"/>
  </w:num>
  <w:num w:numId="25">
    <w:abstractNumId w:val="2"/>
  </w:num>
  <w:num w:numId="26">
    <w:abstractNumId w:val="17"/>
  </w:num>
  <w:num w:numId="27">
    <w:abstractNumId w:val="14"/>
  </w:num>
  <w:num w:numId="28">
    <w:abstractNumId w:val="1"/>
  </w:num>
  <w:num w:numId="29">
    <w:abstractNumId w:val="9"/>
  </w:num>
  <w:num w:numId="30">
    <w:abstractNumId w:val="23"/>
  </w:num>
  <w:num w:numId="31">
    <w:abstractNumId w:val="1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02"/>
    <w:rsid w:val="002031CD"/>
    <w:rsid w:val="00520128"/>
    <w:rsid w:val="00CE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F87EF-2487-4195-99EE-E9C96D80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Arial" w:eastAsia="Arial Unicode MS" w:hAnsi="Arial"/>
      <w:sz w:val="22"/>
    </w:rPr>
  </w:style>
  <w:style w:type="paragraph" w:styleId="Nadpis1">
    <w:name w:val="heading 1"/>
    <w:basedOn w:val="Normln"/>
    <w:next w:val="Normln"/>
    <w:link w:val="Nadpis1Char"/>
    <w:uiPriority w:val="9"/>
    <w:qFormat/>
    <w:pPr>
      <w:keepNext/>
      <w:keepLines/>
      <w:spacing w:before="360" w:after="80"/>
      <w:outlineLvl w:val="0"/>
    </w:pPr>
    <w:rPr>
      <w:rFonts w:eastAsia="Arial" w:cs="Arial"/>
      <w:color w:val="2E74B5" w:themeColor="accent1" w:themeShade="BF"/>
      <w:sz w:val="40"/>
      <w:szCs w:val="40"/>
    </w:rPr>
  </w:style>
  <w:style w:type="paragraph" w:styleId="Nadpis2">
    <w:name w:val="heading 2"/>
    <w:basedOn w:val="Normln"/>
    <w:next w:val="Normln"/>
    <w:link w:val="Nadpis2Char"/>
    <w:qFormat/>
    <w:pPr>
      <w:widowControl/>
      <w:numPr>
        <w:ilvl w:val="1"/>
        <w:numId w:val="6"/>
      </w:numPr>
      <w:tabs>
        <w:tab w:val="num" w:pos="927"/>
      </w:tabs>
      <w:spacing w:before="120" w:after="60"/>
      <w:ind w:left="927" w:hanging="567"/>
      <w:jc w:val="both"/>
      <w:outlineLvl w:val="1"/>
    </w:pPr>
    <w:rPr>
      <w:rFonts w:eastAsia="Times New Roman"/>
      <w:color w:val="000000"/>
      <w:sz w:val="20"/>
    </w:rPr>
  </w:style>
  <w:style w:type="paragraph" w:styleId="Nadpis3">
    <w:name w:val="heading 3"/>
    <w:basedOn w:val="Normln"/>
    <w:next w:val="Normln"/>
    <w:link w:val="Nadpis3Char"/>
    <w:uiPriority w:val="9"/>
    <w:unhideWhenUsed/>
    <w:qFormat/>
    <w:pPr>
      <w:keepNext/>
      <w:keepLines/>
      <w:spacing w:before="160" w:after="80"/>
      <w:outlineLvl w:val="2"/>
    </w:pPr>
    <w:rPr>
      <w:rFonts w:eastAsia="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eastAsia="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eastAsia="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eastAsia="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eastAsia="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eastAsia="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
    <w:name w:val="Body Text"/>
    <w:basedOn w:val="Normln"/>
    <w:pPr>
      <w:spacing w:after="120"/>
    </w:pPr>
  </w:style>
  <w:style w:type="character" w:customStyle="1" w:styleId="Nadpis2Char">
    <w:name w:val="Nadpis 2 Char"/>
    <w:link w:val="Nadpis2"/>
    <w:rPr>
      <w:color w:val="000000"/>
    </w:rPr>
  </w:style>
  <w:style w:type="paragraph" w:customStyle="1" w:styleId="Odst1">
    <w:name w:val="Odst 1."/>
    <w:basedOn w:val="Normln"/>
    <w:pPr>
      <w:widowControl/>
      <w:numPr>
        <w:numId w:val="9"/>
      </w:numPr>
      <w:tabs>
        <w:tab w:val="left" w:pos="0"/>
        <w:tab w:val="left" w:pos="720"/>
        <w:tab w:val="left" w:pos="1440"/>
        <w:tab w:val="left" w:pos="2160"/>
        <w:tab w:val="left" w:pos="2880"/>
        <w:tab w:val="left" w:pos="3600"/>
        <w:tab w:val="left" w:pos="4320"/>
      </w:tabs>
      <w:spacing w:after="60"/>
      <w:jc w:val="both"/>
    </w:pPr>
    <w:rPr>
      <w:rFonts w:eastAsia="Times New Roman"/>
      <w:sz w:val="18"/>
    </w:rPr>
  </w:style>
  <w:style w:type="paragraph" w:styleId="Normlnodsazen">
    <w:name w:val="Normal Indent"/>
    <w:basedOn w:val="Normln"/>
    <w:pPr>
      <w:widowControl/>
      <w:spacing w:before="120" w:after="120"/>
      <w:ind w:left="709"/>
    </w:pPr>
    <w:rPr>
      <w:rFonts w:eastAsia="Times New Roman"/>
      <w:sz w:val="20"/>
      <w:szCs w:val="24"/>
    </w:rPr>
  </w:style>
  <w:style w:type="character" w:styleId="Hypertextovodkaz">
    <w:name w:val="Hyperlink"/>
    <w:rPr>
      <w:color w:val="0000FF"/>
      <w:u w:val="single"/>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eastAsia="Arial Unicode MS" w:hAnsi="Tahoma" w:cs="Tahoma"/>
      <w:sz w:val="16"/>
      <w:szCs w:val="16"/>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eastAsia="Arial Unicode MS"/>
      <w:sz w:val="24"/>
    </w:rPr>
  </w:style>
  <w:style w:type="paragraph" w:styleId="Bezmezer">
    <w:name w:val="No Spacing"/>
    <w:link w:val="BezmezerChar"/>
    <w:uiPriority w:val="1"/>
    <w:qFormat/>
    <w:pPr>
      <w:widowControl w:val="0"/>
    </w:pPr>
    <w:rPr>
      <w:rFonts w:eastAsia="Arial Unicode MS"/>
      <w:sz w:val="24"/>
    </w:rPr>
  </w:style>
  <w:style w:type="paragraph" w:styleId="Odstavecseseznamem">
    <w:name w:val="List Paragraph"/>
    <w:basedOn w:val="Normln"/>
    <w:uiPriority w:val="34"/>
    <w:qFormat/>
    <w:pPr>
      <w:ind w:left="708"/>
    </w:pPr>
  </w:style>
  <w:style w:type="character" w:styleId="Odkaznakoment">
    <w:name w:val="annotation reference"/>
    <w:rPr>
      <w:sz w:val="16"/>
      <w:szCs w:val="16"/>
    </w:rPr>
  </w:style>
  <w:style w:type="paragraph" w:styleId="Textkomente">
    <w:name w:val="annotation text"/>
    <w:basedOn w:val="Normln"/>
    <w:link w:val="TextkomenteChar"/>
    <w:rPr>
      <w:sz w:val="20"/>
    </w:rPr>
  </w:style>
  <w:style w:type="character" w:customStyle="1" w:styleId="TextkomenteChar">
    <w:name w:val="Text komentáře Char"/>
    <w:link w:val="Textkomente"/>
    <w:rPr>
      <w:rFonts w:eastAsia="Arial Unicode M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eastAsia="Arial Unicode MS"/>
      <w:b/>
      <w:bCs/>
    </w:rPr>
  </w:style>
  <w:style w:type="paragraph" w:customStyle="1" w:styleId="ListParagraph1">
    <w:name w:val="List Paragraph1"/>
    <w:basedOn w:val="Normln"/>
    <w:pPr>
      <w:widowControl/>
      <w:spacing w:line="100" w:lineRule="atLeast"/>
      <w:ind w:left="720"/>
    </w:pPr>
    <w:rPr>
      <w:rFonts w:eastAsia="Times New Roman"/>
      <w:szCs w:val="24"/>
      <w:lang w:eastAsia="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eastAsia="Arial Unicode MS"/>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eastAsia="Arial Unicode MS"/>
      <w:sz w:val="24"/>
    </w:rPr>
  </w:style>
  <w:style w:type="character" w:customStyle="1" w:styleId="BezmezerChar">
    <w:name w:val="Bez mezer Char"/>
    <w:link w:val="Bezmezer"/>
    <w:uiPriority w:val="1"/>
    <w:rPr>
      <w:rFonts w:eastAsia="Arial Unicode MS"/>
      <w:sz w:val="24"/>
      <w:lang w:bidi="ar-SA"/>
    </w:rPr>
  </w:style>
  <w:style w:type="character" w:styleId="Sledovanodkaz">
    <w:name w:val="FollowedHyperlink"/>
    <w:rPr>
      <w:color w:val="954F72"/>
      <w:u w:val="single"/>
    </w:rPr>
  </w:style>
  <w:style w:type="character" w:styleId="Siln">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krivanek@jihlava-cit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B2A2-5C69-4D28-B632-E127EFE4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7272</Characters>
  <Application>Microsoft Office Word</Application>
  <DocSecurity>0</DocSecurity>
  <Lines>60</Lines>
  <Paragraphs>16</Paragraphs>
  <ScaleCrop>false</ScaleCrop>
  <Company>Hewlett-Packard Company</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Kapsová Jitka</dc:creator>
  <cp:keywords/>
  <cp:lastModifiedBy>DOLEŽÁLEK Josef Ing.</cp:lastModifiedBy>
  <cp:revision>30</cp:revision>
  <dcterms:created xsi:type="dcterms:W3CDTF">2022-06-30T08:13:00Z</dcterms:created>
  <dcterms:modified xsi:type="dcterms:W3CDTF">2025-11-19T08:10:00Z</dcterms:modified>
</cp:coreProperties>
</file>