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89" w:rsidRPr="00FD1E89" w:rsidRDefault="00FD1E89" w:rsidP="00FD1E89">
      <w:pPr>
        <w:jc w:val="center"/>
        <w:rPr>
          <w:rFonts w:cstheme="minorHAnsi"/>
          <w:sz w:val="32"/>
          <w:szCs w:val="32"/>
        </w:rPr>
      </w:pPr>
      <w:r w:rsidRPr="00FD1E89">
        <w:rPr>
          <w:rFonts w:cstheme="minorHAnsi"/>
          <w:sz w:val="32"/>
          <w:szCs w:val="32"/>
        </w:rPr>
        <w:t>Zadání</w:t>
      </w:r>
    </w:p>
    <w:p w:rsidR="00FD1E89" w:rsidRPr="00FD1E89" w:rsidRDefault="00FD1E89" w:rsidP="00FD1E89">
      <w:pPr>
        <w:jc w:val="center"/>
        <w:rPr>
          <w:rFonts w:cstheme="minorHAnsi"/>
          <w:sz w:val="32"/>
          <w:szCs w:val="32"/>
        </w:rPr>
      </w:pPr>
      <w:r w:rsidRPr="00FD1E89">
        <w:rPr>
          <w:rFonts w:cstheme="minorHAnsi"/>
          <w:sz w:val="32"/>
          <w:szCs w:val="32"/>
        </w:rPr>
        <w:t>Parkovací dům zoo Jihlava</w:t>
      </w:r>
    </w:p>
    <w:p w:rsidR="00FD1E89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  <w:bookmarkStart w:id="0" w:name="_GoBack"/>
      <w:bookmarkEnd w:id="0"/>
    </w:p>
    <w:p w:rsidR="00FD1E89" w:rsidRPr="00FD1E89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  <w:r w:rsidRPr="00FD1E89">
        <w:rPr>
          <w:rFonts w:cstheme="minorHAnsi"/>
        </w:rPr>
        <w:t>Zhotovitel se zavazuje pro objednatele, a to na svůj náklad, nebezpečí a odpovědnost vypracovat a dodat projektovou dokumentaci ve stupni studie včetně variantního návrhu konstrukčního řešení a posouzení variant (dále jen jako „studie“) a dokumentace pro povolení stavby umožňující vypsání zadávacího řízení na zhotovitele stavby, a to v souladu s příslušnými ustanoveními zákona č. 134/2016 Sb., o zadávání veřejných zakázek, v platném znění (dále též jako „zákon o zadávání veřejných zakázek“) a jeho podzákonných právních předpisů, zajistit inženýrskou činnost pro vydání povolení stavby a poskytnout technické poradenství v průběhu realizace stavby.</w:t>
      </w:r>
    </w:p>
    <w:p w:rsidR="00FD1E89" w:rsidRPr="00FD1E89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</w:p>
    <w:p w:rsidR="00FD1E89" w:rsidRPr="00933547" w:rsidRDefault="00FD1E89" w:rsidP="00FD1E89">
      <w:pPr>
        <w:snapToGrid w:val="0"/>
        <w:spacing w:after="120" w:line="40" w:lineRule="atLeast"/>
        <w:jc w:val="both"/>
        <w:rPr>
          <w:rFonts w:cstheme="minorHAnsi"/>
          <w:b/>
        </w:rPr>
      </w:pPr>
      <w:r w:rsidRPr="00933547">
        <w:rPr>
          <w:rFonts w:cstheme="minorHAnsi"/>
          <w:b/>
        </w:rPr>
        <w:t>STUDIE</w:t>
      </w:r>
    </w:p>
    <w:p w:rsidR="00FD1E89" w:rsidRPr="00933547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  <w:r w:rsidRPr="00FD1E89">
        <w:rPr>
          <w:rFonts w:cstheme="minorHAnsi"/>
        </w:rPr>
        <w:t xml:space="preserve">Požadavky objednatele na </w:t>
      </w:r>
      <w:r w:rsidRPr="00933547">
        <w:rPr>
          <w:rFonts w:cstheme="minorHAnsi"/>
        </w:rPr>
        <w:t>studii – studie bude kromě jiného obsahovat:</w:t>
      </w:r>
    </w:p>
    <w:p w:rsidR="00FD1E89" w:rsidRPr="00FD1E89" w:rsidRDefault="00FD1E89" w:rsidP="00FD1E89">
      <w:pPr>
        <w:numPr>
          <w:ilvl w:val="0"/>
          <w:numId w:val="2"/>
        </w:numPr>
        <w:snapToGrid w:val="0"/>
        <w:spacing w:after="120" w:line="40" w:lineRule="atLeast"/>
        <w:ind w:hanging="284"/>
        <w:jc w:val="both"/>
        <w:rPr>
          <w:rFonts w:cstheme="minorHAnsi"/>
        </w:rPr>
      </w:pPr>
      <w:r w:rsidRPr="00FD1E89">
        <w:rPr>
          <w:rFonts w:cstheme="minorHAnsi"/>
        </w:rPr>
        <w:t>Situační výkres zasazení parkovacího domu do území včetně návrhu příjezdu do jednotlivých pater parkovacího domu a návrhu přístupu k hlavnímu vchodu do ZOO</w:t>
      </w:r>
    </w:p>
    <w:p w:rsidR="00FD1E89" w:rsidRPr="00FD1E89" w:rsidRDefault="00FD1E89" w:rsidP="00FD1E89">
      <w:pPr>
        <w:numPr>
          <w:ilvl w:val="0"/>
          <w:numId w:val="2"/>
        </w:numPr>
        <w:snapToGrid w:val="0"/>
        <w:spacing w:after="120" w:line="40" w:lineRule="atLeast"/>
        <w:ind w:hanging="284"/>
        <w:jc w:val="both"/>
        <w:rPr>
          <w:rFonts w:cstheme="minorHAnsi"/>
        </w:rPr>
      </w:pPr>
      <w:r w:rsidRPr="00FD1E89">
        <w:rPr>
          <w:rFonts w:cstheme="minorHAnsi"/>
        </w:rPr>
        <w:t>technický popis variant konstrukčního řešení</w:t>
      </w:r>
    </w:p>
    <w:p w:rsidR="00FD1E89" w:rsidRPr="00FD1E89" w:rsidRDefault="00FD1E89" w:rsidP="00FD1E89">
      <w:pPr>
        <w:numPr>
          <w:ilvl w:val="0"/>
          <w:numId w:val="2"/>
        </w:numPr>
        <w:snapToGrid w:val="0"/>
        <w:spacing w:after="120" w:line="40" w:lineRule="atLeast"/>
        <w:ind w:hanging="284"/>
        <w:jc w:val="both"/>
        <w:rPr>
          <w:rFonts w:cstheme="minorHAnsi"/>
        </w:rPr>
      </w:pPr>
      <w:r w:rsidRPr="00FD1E89">
        <w:rPr>
          <w:rFonts w:cstheme="minorHAnsi"/>
        </w:rPr>
        <w:t>odhad stavebních nákladů pro jednotlivé varianty konstrukčního řešení</w:t>
      </w:r>
    </w:p>
    <w:p w:rsidR="00FD1E89" w:rsidRPr="00FD1E89" w:rsidRDefault="00FD1E89" w:rsidP="00FD1E89">
      <w:pPr>
        <w:numPr>
          <w:ilvl w:val="0"/>
          <w:numId w:val="2"/>
        </w:numPr>
        <w:snapToGrid w:val="0"/>
        <w:spacing w:after="120" w:line="40" w:lineRule="atLeast"/>
        <w:ind w:hanging="284"/>
        <w:jc w:val="both"/>
        <w:rPr>
          <w:rFonts w:cstheme="minorHAnsi"/>
        </w:rPr>
      </w:pPr>
      <w:r w:rsidRPr="00FD1E89">
        <w:rPr>
          <w:rFonts w:cstheme="minorHAnsi"/>
        </w:rPr>
        <w:t>odhad lhůty realizace pro jednotlivé varianty konstrukčního řešení</w:t>
      </w:r>
    </w:p>
    <w:p w:rsidR="00FD1E89" w:rsidRPr="00FD1E89" w:rsidRDefault="00FD1E89" w:rsidP="00FD1E89">
      <w:pPr>
        <w:numPr>
          <w:ilvl w:val="0"/>
          <w:numId w:val="2"/>
        </w:numPr>
        <w:snapToGrid w:val="0"/>
        <w:spacing w:after="120" w:line="40" w:lineRule="atLeast"/>
        <w:ind w:hanging="284"/>
        <w:jc w:val="both"/>
        <w:rPr>
          <w:rFonts w:cstheme="minorHAnsi"/>
        </w:rPr>
      </w:pPr>
      <w:r w:rsidRPr="00FD1E89">
        <w:rPr>
          <w:rFonts w:cstheme="minorHAnsi"/>
        </w:rPr>
        <w:t>posouzení z hlediska možnosti budoucího rozšíření parkovacího domu – nástavby dalších pater</w:t>
      </w:r>
    </w:p>
    <w:p w:rsidR="00FD1E89" w:rsidRPr="00FD1E89" w:rsidRDefault="00FD1E89" w:rsidP="00FD1E89">
      <w:pPr>
        <w:numPr>
          <w:ilvl w:val="0"/>
          <w:numId w:val="2"/>
        </w:numPr>
        <w:snapToGrid w:val="0"/>
        <w:spacing w:after="120" w:line="40" w:lineRule="atLeast"/>
        <w:ind w:hanging="284"/>
        <w:jc w:val="both"/>
        <w:rPr>
          <w:rFonts w:cstheme="minorHAnsi"/>
        </w:rPr>
      </w:pPr>
      <w:r w:rsidRPr="00FD1E89">
        <w:rPr>
          <w:rFonts w:cstheme="minorHAnsi"/>
        </w:rPr>
        <w:t>vzájemné vyhodnocení jednotlivých variant</w:t>
      </w:r>
    </w:p>
    <w:p w:rsidR="00FD1E89" w:rsidRDefault="00FD1E89" w:rsidP="00FD1E89">
      <w:pPr>
        <w:numPr>
          <w:ilvl w:val="0"/>
          <w:numId w:val="2"/>
        </w:numPr>
        <w:snapToGrid w:val="0"/>
        <w:spacing w:after="120" w:line="40" w:lineRule="atLeast"/>
        <w:ind w:hanging="284"/>
        <w:jc w:val="both"/>
        <w:rPr>
          <w:rFonts w:cstheme="minorHAnsi"/>
        </w:rPr>
      </w:pPr>
      <w:r w:rsidRPr="00FD1E89">
        <w:rPr>
          <w:rFonts w:cstheme="minorHAnsi"/>
        </w:rPr>
        <w:t>situační výkres zahrnující další etapu (rozsah dle fáze 2 dle zadávací studie) parkovacího domu s návrhem</w:t>
      </w:r>
      <w:r w:rsidR="00F71AFA">
        <w:rPr>
          <w:rFonts w:cstheme="minorHAnsi"/>
        </w:rPr>
        <w:t xml:space="preserve"> příjezdu do jednotlivých pater</w:t>
      </w:r>
    </w:p>
    <w:p w:rsidR="00F71AFA" w:rsidRPr="00FD1E89" w:rsidRDefault="00F71AFA" w:rsidP="00FD1E89">
      <w:pPr>
        <w:numPr>
          <w:ilvl w:val="0"/>
          <w:numId w:val="2"/>
        </w:numPr>
        <w:snapToGrid w:val="0"/>
        <w:spacing w:after="120" w:line="40" w:lineRule="atLeast"/>
        <w:ind w:hanging="284"/>
        <w:jc w:val="both"/>
        <w:rPr>
          <w:rFonts w:cstheme="minorHAnsi"/>
        </w:rPr>
      </w:pPr>
      <w:r>
        <w:rPr>
          <w:rFonts w:cs="Arial"/>
        </w:rPr>
        <w:t>zpracování prezentace pro orgány objednatele v četnosti 1x ke studii včetně fyzické účasti na prezentaci</w:t>
      </w:r>
    </w:p>
    <w:p w:rsidR="00FD1E89" w:rsidRPr="00FD1E89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</w:p>
    <w:p w:rsidR="00FD1E89" w:rsidRPr="00933547" w:rsidRDefault="00FD1E89" w:rsidP="00FD1E89">
      <w:pPr>
        <w:snapToGrid w:val="0"/>
        <w:spacing w:after="120" w:line="40" w:lineRule="atLeast"/>
        <w:jc w:val="both"/>
        <w:rPr>
          <w:rFonts w:cstheme="minorHAnsi"/>
          <w:b/>
        </w:rPr>
      </w:pPr>
      <w:r w:rsidRPr="00933547">
        <w:rPr>
          <w:rFonts w:cstheme="minorHAnsi"/>
          <w:b/>
        </w:rPr>
        <w:t>PROJEKTOVÁ DOKUMENTACE PRO POVOLENÍ STAVBY</w:t>
      </w:r>
    </w:p>
    <w:p w:rsidR="00FD1E89" w:rsidRPr="00933547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  <w:r w:rsidRPr="00FD1E89">
        <w:rPr>
          <w:rFonts w:cstheme="minorHAnsi"/>
        </w:rPr>
        <w:t xml:space="preserve">Požadavky objednatele na projektovou dokumentaci </w:t>
      </w:r>
      <w:r w:rsidRPr="00933547">
        <w:rPr>
          <w:rFonts w:cstheme="minorHAnsi"/>
        </w:rPr>
        <w:t>pro povolení stavby – projektová dokumentace pro povolení stavby bude kromě jiného obsahovat: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 xml:space="preserve">zakreslení veškerých podzemních a nadzemních sítí nacházejících se v prostoru stavby a nejbližším okolí, zjištění stavu stávajících </w:t>
      </w:r>
      <w:proofErr w:type="spellStart"/>
      <w:r w:rsidRPr="00FD1E89">
        <w:rPr>
          <w:rFonts w:asciiTheme="minorHAnsi" w:hAnsiTheme="minorHAnsi" w:cstheme="minorHAnsi"/>
          <w:sz w:val="22"/>
          <w:szCs w:val="22"/>
        </w:rPr>
        <w:t>inž</w:t>
      </w:r>
      <w:proofErr w:type="spellEnd"/>
      <w:r w:rsidRPr="00FD1E89">
        <w:rPr>
          <w:rFonts w:asciiTheme="minorHAnsi" w:hAnsiTheme="minorHAnsi" w:cstheme="minorHAnsi"/>
          <w:sz w:val="22"/>
          <w:szCs w:val="22"/>
        </w:rPr>
        <w:t>. sítí u jejich správců a v případě potřeby bude dokumentace řešit přeložky těchto sítí případně jejich ochranu,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 xml:space="preserve">zajištění všech </w:t>
      </w:r>
      <w:proofErr w:type="spellStart"/>
      <w:r w:rsidRPr="00FD1E89">
        <w:rPr>
          <w:rFonts w:asciiTheme="minorHAnsi" w:hAnsiTheme="minorHAnsi" w:cstheme="minorHAnsi"/>
          <w:sz w:val="22"/>
          <w:szCs w:val="22"/>
        </w:rPr>
        <w:t>nápojných</w:t>
      </w:r>
      <w:proofErr w:type="spellEnd"/>
      <w:r w:rsidRPr="00FD1E89">
        <w:rPr>
          <w:rFonts w:asciiTheme="minorHAnsi" w:hAnsiTheme="minorHAnsi" w:cstheme="minorHAnsi"/>
          <w:sz w:val="22"/>
          <w:szCs w:val="22"/>
        </w:rPr>
        <w:t xml:space="preserve"> míst inženýrských sítí,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>posouzení požadavku na použití recyklovaného materiálu splňující požadované stavební normy, jako náhradu za přírodní zdroje, pokud je to možné,</w:t>
      </w:r>
    </w:p>
    <w:p w:rsidR="00FD1E89" w:rsidRPr="00933547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33547">
        <w:rPr>
          <w:rFonts w:asciiTheme="minorHAnsi" w:hAnsiTheme="minorHAnsi" w:cstheme="minorHAnsi"/>
          <w:sz w:val="22"/>
          <w:szCs w:val="22"/>
        </w:rPr>
        <w:t>posouzení požadavku a návrh na maximální možné využití přebytečné výkopové zeminy v území dotčeného stavbou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tabs>
          <w:tab w:val="left" w:pos="142"/>
          <w:tab w:val="left" w:pos="284"/>
        </w:tabs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>vytyčovací výkresy s určením nezbytných vytyčovacích bodů,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tabs>
          <w:tab w:val="left" w:pos="142"/>
        </w:tabs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 xml:space="preserve">potřebné geodetické zaměření polohopisu a výškopisu zájmového území stavby, popřípadě aktualizace stávajícího 1x v tištěné podobě a 1x v digitální podobě na CD, DVD či jiném nosiči digitálních informací ve </w:t>
      </w:r>
      <w:proofErr w:type="gramStart"/>
      <w:r w:rsidRPr="00FD1E89">
        <w:rPr>
          <w:rFonts w:asciiTheme="minorHAnsi" w:hAnsiTheme="minorHAnsi" w:cstheme="minorHAnsi"/>
          <w:sz w:val="22"/>
          <w:szCs w:val="22"/>
        </w:rPr>
        <w:t>formátu .</w:t>
      </w:r>
      <w:proofErr w:type="spellStart"/>
      <w:r w:rsidRPr="00FD1E89">
        <w:rPr>
          <w:rFonts w:asciiTheme="minorHAnsi" w:hAnsiTheme="minorHAnsi" w:cstheme="minorHAnsi"/>
          <w:sz w:val="22"/>
          <w:szCs w:val="22"/>
        </w:rPr>
        <w:t>dgn</w:t>
      </w:r>
      <w:proofErr w:type="spellEnd"/>
      <w:proofErr w:type="gramEnd"/>
      <w:r w:rsidRPr="00FD1E89">
        <w:rPr>
          <w:rFonts w:asciiTheme="minorHAnsi" w:hAnsiTheme="minorHAnsi" w:cstheme="minorHAnsi"/>
          <w:sz w:val="22"/>
          <w:szCs w:val="22"/>
        </w:rPr>
        <w:t xml:space="preserve"> či .</w:t>
      </w:r>
      <w:proofErr w:type="spellStart"/>
      <w:r w:rsidRPr="00FD1E89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Pr="00FD1E89">
        <w:rPr>
          <w:rFonts w:asciiTheme="minorHAnsi" w:hAnsiTheme="minorHAnsi" w:cstheme="minorHAnsi"/>
          <w:sz w:val="22"/>
          <w:szCs w:val="22"/>
        </w:rPr>
        <w:t>, a to po dohodě s objednatelem,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lastRenderedPageBreak/>
        <w:t>nezbytný inženýrsko-geologický průzkum 1x v tištěné podobě,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 xml:space="preserve">soupis stavebních prací, dodávek a služeb s výkazem výměr vč. rekapitulace nákladů 1x v tištěné podobě (neoceněné výkazy výměr jednotlivých profesí v členění dle položek Seznamu orientačních cen stavebních prací vydaných ÚRS Praha nebo RTS Brno) + 1x v elektronické podobě na CD, DVD či jiném nosiči digitálních informací předá zhotovitel objednateli </w:t>
      </w:r>
      <w:r w:rsidRPr="00FD1E89"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proofErr w:type="gramStart"/>
      <w:r w:rsidRPr="00FD1E89">
        <w:rPr>
          <w:rFonts w:asciiTheme="minorHAnsi" w:hAnsiTheme="minorHAnsi" w:cstheme="minorHAnsi"/>
          <w:color w:val="000000"/>
          <w:sz w:val="22"/>
          <w:szCs w:val="22"/>
        </w:rPr>
        <w:t>formátech .</w:t>
      </w:r>
      <w:proofErr w:type="spellStart"/>
      <w:r w:rsidRPr="00FD1E89">
        <w:rPr>
          <w:rFonts w:asciiTheme="minorHAnsi" w:hAnsiTheme="minorHAnsi" w:cstheme="minorHAnsi"/>
          <w:color w:val="000000"/>
          <w:sz w:val="22"/>
          <w:szCs w:val="22"/>
        </w:rPr>
        <w:t>pdf</w:t>
      </w:r>
      <w:proofErr w:type="spellEnd"/>
      <w:proofErr w:type="gramEnd"/>
      <w:r w:rsidRPr="00FD1E89">
        <w:rPr>
          <w:rFonts w:asciiTheme="minorHAnsi" w:hAnsiTheme="minorHAnsi" w:cstheme="minorHAnsi"/>
          <w:color w:val="000000"/>
          <w:sz w:val="22"/>
          <w:szCs w:val="22"/>
        </w:rPr>
        <w:t>, .</w:t>
      </w:r>
      <w:proofErr w:type="spellStart"/>
      <w:r w:rsidRPr="00FD1E89">
        <w:rPr>
          <w:rFonts w:asciiTheme="minorHAnsi" w:hAnsiTheme="minorHAnsi" w:cstheme="minorHAnsi"/>
          <w:color w:val="000000"/>
          <w:sz w:val="22"/>
          <w:szCs w:val="22"/>
        </w:rPr>
        <w:t>xlsx</w:t>
      </w:r>
      <w:proofErr w:type="spellEnd"/>
      <w:r w:rsidRPr="00FD1E89">
        <w:rPr>
          <w:rFonts w:asciiTheme="minorHAnsi" w:hAnsiTheme="minorHAnsi" w:cstheme="minorHAnsi"/>
          <w:color w:val="000000"/>
          <w:sz w:val="22"/>
          <w:szCs w:val="22"/>
        </w:rPr>
        <w:t xml:space="preserve"> a ve formátu Excel VZ nebo v obdobném výstupu z rozpočtového softwaru odsouhlaseném objednatelem </w:t>
      </w:r>
      <w:r w:rsidRPr="00FD1E89">
        <w:rPr>
          <w:rFonts w:asciiTheme="minorHAnsi" w:hAnsiTheme="minorHAnsi" w:cstheme="minorHAnsi"/>
          <w:sz w:val="22"/>
          <w:szCs w:val="22"/>
        </w:rPr>
        <w:t>(stavební část i všechny profese), soupis stavebních prací, dodávek a služeb s výkazem výměr bude zpracován tak, aby byl v souladu s vyhláškou</w:t>
      </w:r>
      <w:r w:rsidRPr="00FD1E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D1E89">
        <w:rPr>
          <w:rFonts w:asciiTheme="minorHAnsi" w:hAnsiTheme="minorHAnsi" w:cstheme="minorHAnsi"/>
          <w:sz w:val="22"/>
          <w:szCs w:val="22"/>
        </w:rPr>
        <w:t xml:space="preserve">č. 169/2016 Sb., o stanovení rozsahu dokumentace veřejné zakázky na stavební práce a soupisu stavebních prací, dodávek a služeb s výkazem výměr, v platném znění, přičemž úprava </w:t>
      </w:r>
      <w:proofErr w:type="spellStart"/>
      <w:r w:rsidRPr="00FD1E89">
        <w:rPr>
          <w:rFonts w:asciiTheme="minorHAnsi" w:hAnsiTheme="minorHAnsi" w:cstheme="minorHAnsi"/>
          <w:sz w:val="22"/>
          <w:szCs w:val="22"/>
        </w:rPr>
        <w:t>excelových</w:t>
      </w:r>
      <w:proofErr w:type="spellEnd"/>
      <w:r w:rsidRPr="00FD1E89">
        <w:rPr>
          <w:rFonts w:asciiTheme="minorHAnsi" w:hAnsiTheme="minorHAnsi" w:cstheme="minorHAnsi"/>
          <w:sz w:val="22"/>
          <w:szCs w:val="22"/>
        </w:rPr>
        <w:t xml:space="preserve"> souborů soupisu stavebních prací, dodávek a služeb s výkazem výměr bude zpracována tak, aby byl sloupec buněk (množství) uzamknut a aby po doplnění jednotkových cen docházelo k automatickému výpočtu cen celkem a k jejich součtům, součástí bude rekapitulace všech stavebních objektů,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 xml:space="preserve">položkový rozpočet vč. rekapitulace nákladů v jednom vyhotovení v tištěné a 1x v elektronické podobě zhotovitel zpracuje </w:t>
      </w:r>
      <w:r w:rsidRPr="00FD1E89"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proofErr w:type="gramStart"/>
      <w:r w:rsidRPr="00FD1E89">
        <w:rPr>
          <w:rFonts w:asciiTheme="minorHAnsi" w:hAnsiTheme="minorHAnsi" w:cstheme="minorHAnsi"/>
          <w:color w:val="000000"/>
          <w:sz w:val="22"/>
          <w:szCs w:val="22"/>
        </w:rPr>
        <w:t>formátech .</w:t>
      </w:r>
      <w:proofErr w:type="spellStart"/>
      <w:r w:rsidRPr="00FD1E89">
        <w:rPr>
          <w:rFonts w:asciiTheme="minorHAnsi" w:hAnsiTheme="minorHAnsi" w:cstheme="minorHAnsi"/>
          <w:color w:val="000000"/>
          <w:sz w:val="22"/>
          <w:szCs w:val="22"/>
        </w:rPr>
        <w:t>pdf</w:t>
      </w:r>
      <w:proofErr w:type="spellEnd"/>
      <w:proofErr w:type="gramEnd"/>
      <w:r w:rsidRPr="00FD1E89">
        <w:rPr>
          <w:rFonts w:asciiTheme="minorHAnsi" w:hAnsiTheme="minorHAnsi" w:cstheme="minorHAnsi"/>
          <w:color w:val="000000"/>
          <w:sz w:val="22"/>
          <w:szCs w:val="22"/>
        </w:rPr>
        <w:t>, .</w:t>
      </w:r>
      <w:proofErr w:type="spellStart"/>
      <w:r w:rsidRPr="00FD1E89">
        <w:rPr>
          <w:rFonts w:asciiTheme="minorHAnsi" w:hAnsiTheme="minorHAnsi" w:cstheme="minorHAnsi"/>
          <w:color w:val="000000"/>
          <w:sz w:val="22"/>
          <w:szCs w:val="22"/>
        </w:rPr>
        <w:t>xlsx</w:t>
      </w:r>
      <w:proofErr w:type="spellEnd"/>
      <w:r w:rsidRPr="00FD1E89">
        <w:rPr>
          <w:rFonts w:asciiTheme="minorHAnsi" w:hAnsiTheme="minorHAnsi" w:cstheme="minorHAnsi"/>
          <w:color w:val="000000"/>
          <w:sz w:val="22"/>
          <w:szCs w:val="22"/>
        </w:rPr>
        <w:t xml:space="preserve"> a ve formátu Excel VZ nebo v obdobném výstupu z rozpočtového softwaru odsouhlaseném objednatelem</w:t>
      </w:r>
      <w:r w:rsidRPr="00FD1E89">
        <w:rPr>
          <w:rFonts w:asciiTheme="minorHAnsi" w:hAnsiTheme="minorHAnsi" w:cstheme="minorHAnsi"/>
          <w:sz w:val="22"/>
          <w:szCs w:val="22"/>
        </w:rPr>
        <w:t xml:space="preserve"> s rekapitulací celkových nákladů stavby, dodaný samostatně, 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 xml:space="preserve">zpracování Plánu přípravy, který bude promítnut do výkazu výměr, rozpočtu a soupisů stavebních prací a bude vycházet ze zásad DNSH a souvisejících pravidel poskytovatele dotace, zejména nutnosti zajistit, že nejméně 70 % (hmotnostních) stavebního a demoličního odpadu neklasifikovaného jako nebezpečný (s výjimkou v přírodě se vyskytujících materiálů uvedených v 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 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>zpracování prezentace pro orgány objednatele v četnosti 1x k projektové dokumentaci pro povolení stavby včetně fyzické účasti na prezentaci</w:t>
      </w:r>
    </w:p>
    <w:p w:rsidR="00FD1E89" w:rsidRPr="00FD1E89" w:rsidRDefault="00FD1E89" w:rsidP="00FD1E89">
      <w:pPr>
        <w:pStyle w:val="Zkladntext1"/>
        <w:numPr>
          <w:ilvl w:val="0"/>
          <w:numId w:val="3"/>
        </w:numPr>
        <w:spacing w:line="40" w:lineRule="atLeast"/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 xml:space="preserve">zpracování technických standardů stavby pro účely vypsání zadávacího řízení na zhotovitele stavby v souladu s příslušnými ustanoveními zákona za použití požadavků na výkon a funkci podle § 92 odst. 2 zákona (označováno rovněž jako metoda Design &amp; </w:t>
      </w:r>
      <w:proofErr w:type="spellStart"/>
      <w:r w:rsidRPr="00FD1E89">
        <w:rPr>
          <w:rFonts w:asciiTheme="minorHAnsi" w:hAnsiTheme="minorHAnsi" w:cstheme="minorHAnsi"/>
          <w:sz w:val="22"/>
          <w:szCs w:val="22"/>
        </w:rPr>
        <w:t>Build</w:t>
      </w:r>
      <w:proofErr w:type="spellEnd"/>
      <w:r w:rsidRPr="00FD1E89">
        <w:rPr>
          <w:rFonts w:asciiTheme="minorHAnsi" w:hAnsiTheme="minorHAnsi" w:cstheme="minorHAnsi"/>
          <w:sz w:val="22"/>
          <w:szCs w:val="22"/>
        </w:rPr>
        <w:t>, tj. metodou, při které je v rámci zadávání projektová dokumentace pro provedení stavby zčásti nebo zcela nahrazena požadavky na výkonu nebo funkci) podle smluvních podmínek FIDIC YELLOW BOOK</w:t>
      </w:r>
    </w:p>
    <w:p w:rsidR="00FD1E89" w:rsidRPr="00FD1E89" w:rsidRDefault="00FD1E89" w:rsidP="00FD1E89">
      <w:pPr>
        <w:pStyle w:val="Zkladntext1"/>
        <w:spacing w:line="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D1E89" w:rsidRPr="00933547" w:rsidRDefault="00FD1E89" w:rsidP="00FD1E89">
      <w:pPr>
        <w:pStyle w:val="Zkladntext1"/>
        <w:spacing w:line="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3547">
        <w:rPr>
          <w:rFonts w:asciiTheme="minorHAnsi" w:hAnsiTheme="minorHAnsi" w:cstheme="minorHAnsi"/>
          <w:b/>
          <w:sz w:val="22"/>
          <w:szCs w:val="22"/>
        </w:rPr>
        <w:t>INŽENÝRSKÁ ČINNOST</w:t>
      </w:r>
    </w:p>
    <w:p w:rsidR="00FD1E89" w:rsidRPr="00FD1E89" w:rsidRDefault="00FD1E89" w:rsidP="00FD1E89">
      <w:pPr>
        <w:pStyle w:val="Zkladntext1"/>
        <w:spacing w:line="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D1E89">
        <w:rPr>
          <w:rFonts w:asciiTheme="minorHAnsi" w:hAnsiTheme="minorHAnsi" w:cstheme="minorHAnsi"/>
          <w:sz w:val="22"/>
          <w:szCs w:val="22"/>
        </w:rPr>
        <w:t xml:space="preserve">Inženýrská činnost bude spočívat v zajištění veškerých úkonů potřebných k vydání všech nutných rozhodnutí, souhlasů, stanovisek a povolení nezbytných k vydání povolení stavby, popř. dalších rozhodnutí, nutných k realizaci stavby v souladu se stavebním zákonem. Součástí bude záborový elaborát pozemků dotčených stavbou. </w:t>
      </w:r>
      <w:r w:rsidR="00933547">
        <w:rPr>
          <w:rFonts w:asciiTheme="minorHAnsi" w:hAnsiTheme="minorHAnsi" w:cstheme="minorHAnsi"/>
          <w:sz w:val="22"/>
          <w:szCs w:val="22"/>
        </w:rPr>
        <w:t>S</w:t>
      </w:r>
      <w:r w:rsidRPr="00FD1E89">
        <w:rPr>
          <w:rFonts w:asciiTheme="minorHAnsi" w:hAnsiTheme="minorHAnsi" w:cstheme="minorHAnsi"/>
          <w:sz w:val="22"/>
          <w:szCs w:val="22"/>
        </w:rPr>
        <w:t>oučástí inženýrské činnosti není zajištění majetkoprávního vypořádání stavbou dotčených nemovitostí ani případné uzavírání dalších příslušných smluv se třetími subjekty, které jsou nutné k provedení díla (smlouvy o přeložkách) a zajištění případných znaleckých posudků. Tyto činnosti se zavazuje zajistit na své náklady Objednatel.</w:t>
      </w:r>
    </w:p>
    <w:p w:rsidR="00FD1E89" w:rsidRPr="00FD1E89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</w:p>
    <w:p w:rsidR="00FD1E89" w:rsidRPr="00933547" w:rsidRDefault="00933547" w:rsidP="00FD1E89">
      <w:pPr>
        <w:snapToGrid w:val="0"/>
        <w:spacing w:after="120" w:line="40" w:lineRule="atLeast"/>
        <w:jc w:val="both"/>
        <w:rPr>
          <w:rFonts w:cstheme="minorHAnsi"/>
          <w:b/>
        </w:rPr>
      </w:pPr>
      <w:r w:rsidRPr="00933547">
        <w:rPr>
          <w:rFonts w:cstheme="minorHAnsi"/>
          <w:b/>
        </w:rPr>
        <w:t>POŽA</w:t>
      </w:r>
      <w:r w:rsidR="00FD1E89" w:rsidRPr="00933547">
        <w:rPr>
          <w:rFonts w:cstheme="minorHAnsi"/>
          <w:b/>
        </w:rPr>
        <w:t>DAVKY NA ŘEŠENÍ PARKOVACÍHO DOMU</w:t>
      </w:r>
    </w:p>
    <w:p w:rsidR="00933547" w:rsidRPr="00933547" w:rsidRDefault="00933547" w:rsidP="00933547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>
        <w:t xml:space="preserve">Projektová dokumentace bude navazovat na zpracovanou studii s názvem „Koncept parkování a vstupu do zoo“ vypracovanou subjektem Ing. arch. Jiří Suchý (dále jen jako „zadávací studie“). </w:t>
      </w:r>
      <w:r>
        <w:lastRenderedPageBreak/>
        <w:t>Rozsah předmětu díla dle této smlouvy je vymezen fází 1 této zadávací studie. Z fáze 1 této studie bude vycházet kapacita parkovacího domu.</w:t>
      </w:r>
    </w:p>
    <w:p w:rsidR="00FD1E89" w:rsidRPr="00FD1E89" w:rsidRDefault="00FD1E89" w:rsidP="00FD1E89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D1E89">
        <w:rPr>
          <w:rFonts w:cstheme="minorHAnsi"/>
        </w:rPr>
        <w:t xml:space="preserve">Parkovací dům bude vybaven zejména nikoliv však výlučně: navigačním parkovacím systémem, parkovacími závory a automatem se zajištěním kompatibility a možnosti propojení se stávajícími systémy města, kamerovým systémem, dobíjecími stanicemi pro elektromobily a návrhem řešení pro instalaci </w:t>
      </w:r>
      <w:proofErr w:type="spellStart"/>
      <w:r w:rsidRPr="00FD1E89">
        <w:rPr>
          <w:rFonts w:cstheme="minorHAnsi"/>
        </w:rPr>
        <w:t>fotovoltaických</w:t>
      </w:r>
      <w:proofErr w:type="spellEnd"/>
      <w:r w:rsidRPr="00FD1E89">
        <w:rPr>
          <w:rFonts w:cstheme="minorHAnsi"/>
        </w:rPr>
        <w:t xml:space="preserve"> panelů.</w:t>
      </w:r>
    </w:p>
    <w:p w:rsidR="00FD1E89" w:rsidRPr="00FD1E89" w:rsidRDefault="00FD1E89" w:rsidP="00FD1E89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D1E89">
        <w:rPr>
          <w:rFonts w:cstheme="minorHAnsi"/>
        </w:rPr>
        <w:t xml:space="preserve">Parkovací dům bude mít navrženou zelenou </w:t>
      </w:r>
      <w:proofErr w:type="spellStart"/>
      <w:r w:rsidRPr="00FD1E89">
        <w:rPr>
          <w:rFonts w:cstheme="minorHAnsi"/>
        </w:rPr>
        <w:t>pochozí</w:t>
      </w:r>
      <w:proofErr w:type="spellEnd"/>
      <w:r w:rsidRPr="00FD1E89">
        <w:rPr>
          <w:rFonts w:cstheme="minorHAnsi"/>
        </w:rPr>
        <w:t xml:space="preserve"> střechu.</w:t>
      </w:r>
    </w:p>
    <w:p w:rsidR="00FD1E89" w:rsidRPr="00FD1E89" w:rsidRDefault="00FD1E89" w:rsidP="00FD1E89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D1E89">
        <w:rPr>
          <w:rFonts w:cstheme="minorHAnsi"/>
        </w:rPr>
        <w:t>Parkovací dům bude navržen jako dvoupatrový s možností budoucí nástavby dalších pater.</w:t>
      </w:r>
    </w:p>
    <w:p w:rsidR="00FD1E89" w:rsidRPr="00FD1E89" w:rsidRDefault="00FD1E89" w:rsidP="00FD1E89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FD1E89">
        <w:rPr>
          <w:rFonts w:cstheme="minorHAnsi"/>
        </w:rPr>
        <w:t>Součástí projektu bude příjezd do jednotlivých pater parkovacího domu, bezbariérový přístup k hlavnímu vstupu do ZOO a napojení parkovacího domu na inženýrské sítě.</w:t>
      </w:r>
    </w:p>
    <w:p w:rsidR="00FD1E89" w:rsidRPr="00FD1E89" w:rsidRDefault="00FD1E89" w:rsidP="00FD1E89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Realizačních náklady</w:t>
      </w:r>
      <w:r w:rsidRPr="00FD1E89">
        <w:rPr>
          <w:rFonts w:cstheme="minorHAnsi"/>
        </w:rPr>
        <w:t xml:space="preserve"> stavby n</w:t>
      </w:r>
      <w:r>
        <w:rPr>
          <w:rFonts w:cstheme="minorHAnsi"/>
        </w:rPr>
        <w:t>epřesáhnou 80 mil. Kč vč. DPH</w:t>
      </w:r>
    </w:p>
    <w:p w:rsidR="00FD1E89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</w:p>
    <w:p w:rsidR="00933547" w:rsidRDefault="00933547" w:rsidP="00FD1E89">
      <w:pPr>
        <w:snapToGrid w:val="0"/>
        <w:spacing w:after="120" w:line="40" w:lineRule="atLeast"/>
        <w:jc w:val="both"/>
        <w:rPr>
          <w:rFonts w:cstheme="minorHAnsi"/>
        </w:rPr>
      </w:pPr>
    </w:p>
    <w:p w:rsidR="00933547" w:rsidRDefault="00933547" w:rsidP="00FD1E89">
      <w:pPr>
        <w:snapToGrid w:val="0"/>
        <w:spacing w:after="120" w:line="40" w:lineRule="atLeast"/>
        <w:jc w:val="both"/>
        <w:rPr>
          <w:rFonts w:cstheme="minorHAnsi"/>
        </w:rPr>
      </w:pPr>
      <w:r>
        <w:rPr>
          <w:rFonts w:cstheme="minorHAnsi"/>
        </w:rPr>
        <w:t>Přílohy:</w:t>
      </w:r>
    </w:p>
    <w:p w:rsidR="00933547" w:rsidRPr="00933547" w:rsidRDefault="00933547" w:rsidP="00933547">
      <w:pPr>
        <w:pStyle w:val="Odstavecseseznamem"/>
        <w:numPr>
          <w:ilvl w:val="0"/>
          <w:numId w:val="4"/>
        </w:numPr>
        <w:snapToGrid w:val="0"/>
        <w:spacing w:after="120" w:line="40" w:lineRule="atLeast"/>
        <w:jc w:val="both"/>
        <w:rPr>
          <w:rFonts w:cstheme="minorHAnsi"/>
        </w:rPr>
      </w:pPr>
      <w:r w:rsidRPr="00933547">
        <w:rPr>
          <w:rFonts w:cstheme="minorHAnsi"/>
        </w:rPr>
        <w:t xml:space="preserve">Zadávací studie </w:t>
      </w:r>
      <w:r>
        <w:t>„Koncept parkování a vstupu do zoo“ vypracovaná subjektem Ing. arch. Jiří Suchý</w:t>
      </w:r>
    </w:p>
    <w:p w:rsidR="00FD1E89" w:rsidRPr="00FD1E89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</w:p>
    <w:p w:rsidR="00FD1E89" w:rsidRPr="00FD1E89" w:rsidRDefault="00FD1E89" w:rsidP="00FD1E89">
      <w:pPr>
        <w:snapToGrid w:val="0"/>
        <w:spacing w:after="120" w:line="40" w:lineRule="atLeast"/>
        <w:jc w:val="both"/>
        <w:rPr>
          <w:rFonts w:cstheme="minorHAnsi"/>
        </w:rPr>
      </w:pPr>
    </w:p>
    <w:sectPr w:rsidR="00FD1E89" w:rsidRPr="00FD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20C1"/>
    <w:multiLevelType w:val="hybridMultilevel"/>
    <w:tmpl w:val="82A6BEF4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48C7DBF"/>
    <w:multiLevelType w:val="hybridMultilevel"/>
    <w:tmpl w:val="C83E7E86"/>
    <w:lvl w:ilvl="0" w:tplc="FCE6C8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66D41"/>
    <w:multiLevelType w:val="hybridMultilevel"/>
    <w:tmpl w:val="9C54E14A"/>
    <w:lvl w:ilvl="0" w:tplc="687CB7B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C276E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8pUZ4N+C80QrdSrqapG4UNWVGayl4iAjQTFBmptbx11IeRVGp8hfLcsPpchqhHLK4vaddeqG4GruJFdv8u8Nw==" w:salt="wlzWDoX7s/Hwf9qhwsAm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D8"/>
    <w:rsid w:val="00252F34"/>
    <w:rsid w:val="00274AD8"/>
    <w:rsid w:val="00933547"/>
    <w:rsid w:val="00C77079"/>
    <w:rsid w:val="00DE28E6"/>
    <w:rsid w:val="00F71AFA"/>
    <w:rsid w:val="00F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2792"/>
  <w15:chartTrackingRefBased/>
  <w15:docId w15:val="{8653EE85-CDEF-45D5-B3AD-8FC2907E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FD1E89"/>
    <w:pPr>
      <w:widowControl w:val="0"/>
      <w:suppressAutoHyphens/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1034</Words>
  <Characters>6105</Characters>
  <Application>Microsoft Office Word</Application>
  <DocSecurity>8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KEJVAL Tomáš Bc.</dc:creator>
  <cp:keywords/>
  <dc:description/>
  <cp:lastModifiedBy>KEJVAL Tomáš Bc.</cp:lastModifiedBy>
  <cp:revision>4</cp:revision>
  <dcterms:created xsi:type="dcterms:W3CDTF">2025-08-07T06:20:00Z</dcterms:created>
  <dcterms:modified xsi:type="dcterms:W3CDTF">2025-08-07T11:01:00Z</dcterms:modified>
</cp:coreProperties>
</file>