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8F5521" w:rsidRDefault="00514D37" w:rsidP="008F5521">
      <w:r w:rsidRPr="00D242BD">
        <w:t>V souladu s požadavkem zadavatele na prokázání technické kvalifikace uvádím sez</w:t>
      </w:r>
      <w:r w:rsidR="00B17E6F">
        <w:t>nam významných stavebních prací.</w:t>
      </w:r>
      <w:r w:rsidR="008F5521">
        <w:t xml:space="preserve"> </w:t>
      </w:r>
      <w:r w:rsidR="008F5521" w:rsidRPr="00BC07FD">
        <w:rPr>
          <w:b/>
        </w:rPr>
        <w:t>Seznamu významných zakázek</w:t>
      </w:r>
      <w:r w:rsidR="008F5521">
        <w:t xml:space="preserve"> poskytnutých za posle</w:t>
      </w:r>
      <w:r w:rsidR="008F5521" w:rsidRPr="00FB58E2">
        <w:t>dní za posledních 5 let před</w:t>
      </w:r>
      <w:r w:rsidR="008F5521">
        <w:t xml:space="preserve"> zahájením výběrového řízení, jehož obsahem budou </w:t>
      </w:r>
      <w:r w:rsidR="008F5521" w:rsidRPr="00A237C7">
        <w:rPr>
          <w:b/>
        </w:rPr>
        <w:t xml:space="preserve">minimálně </w:t>
      </w:r>
      <w:r w:rsidR="008F5521">
        <w:rPr>
          <w:b/>
        </w:rPr>
        <w:t>2 zakázku</w:t>
      </w:r>
      <w:r w:rsidR="008F5521">
        <w:t xml:space="preserve"> </w:t>
      </w:r>
      <w:r w:rsidR="008F5521" w:rsidRPr="00BC07FD">
        <w:rPr>
          <w:u w:val="single"/>
        </w:rPr>
        <w:t>obdobného charakteru</w:t>
      </w:r>
      <w:r w:rsidR="008F5521">
        <w:t>.</w:t>
      </w:r>
      <w:r w:rsidR="008F5521">
        <w:rPr>
          <w:b/>
        </w:rPr>
        <w:t xml:space="preserve"> </w:t>
      </w:r>
    </w:p>
    <w:p w:rsidR="008F5521" w:rsidRDefault="008F5521" w:rsidP="008F5521">
      <w:r w:rsidRPr="00525F07">
        <w:rPr>
          <w:u w:val="single"/>
        </w:rPr>
        <w:t>Obdobným charakterem</w:t>
      </w:r>
      <w:r>
        <w:t xml:space="preserve"> </w:t>
      </w:r>
      <w:r w:rsidR="00820334" w:rsidRPr="00820334">
        <w:t xml:space="preserve">se rozumí výstavba a/nebo rekonstrukce včetně odbahnění u požární nádrže anebo u MVN (mále vodní nádrže).  </w:t>
      </w:r>
    </w:p>
    <w:p w:rsidR="00514D37" w:rsidRPr="00EB0EFD" w:rsidRDefault="00514D37" w:rsidP="00B17E6F">
      <w:pPr>
        <w:spacing w:line="276" w:lineRule="auto"/>
        <w:ind w:right="142"/>
      </w:pP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149704741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149704741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245185079" w:edGrp="everyone"/>
            <w:r>
              <w:t>DOPLNÍ ÚČASTNÍK</w:t>
            </w:r>
            <w:permEnd w:id="245185079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736786110" w:edGrp="everyone"/>
            <w:r w:rsidRPr="00157E4C">
              <w:t>DOPLNÍ ÚČASTNÍK</w:t>
            </w:r>
            <w:permEnd w:id="1736786110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449194830" w:edGrp="everyone"/>
            <w:r w:rsidRPr="00157E4C">
              <w:t>DOPLNÍ ÚČASTNÍK</w:t>
            </w:r>
            <w:permEnd w:id="449194830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05546244" w:edGrp="everyone"/>
            <w:r w:rsidRPr="00157E4C">
              <w:t>DOPLNÍ ÚČASTNÍK</w:t>
            </w:r>
            <w:permEnd w:id="305546244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127832406" w:edGrp="everyone"/>
            <w:r w:rsidRPr="00157E4C">
              <w:t>DOPLNÍ ÚČASTNÍK</w:t>
            </w:r>
            <w:permEnd w:id="1127832406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2131568835" w:edGrp="everyone"/>
            <w:r w:rsidRPr="00157E4C">
              <w:t>DOPLNÍ ÚČASTNÍK</w:t>
            </w:r>
            <w:permEnd w:id="2131568835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>
      <w:bookmarkStart w:id="0" w:name="_GoBack"/>
      <w:bookmarkEnd w:id="0"/>
    </w:p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2033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20334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20334"/>
    <w:rsid w:val="008F3B5C"/>
    <w:rsid w:val="008F5521"/>
    <w:rsid w:val="00A56365"/>
    <w:rsid w:val="00A7538B"/>
    <w:rsid w:val="00B17E6F"/>
    <w:rsid w:val="00B53703"/>
    <w:rsid w:val="00C24B9F"/>
    <w:rsid w:val="00C37DFA"/>
    <w:rsid w:val="00D242BD"/>
    <w:rsid w:val="00DA5310"/>
    <w:rsid w:val="00EE6363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0F9DEF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23</cp:revision>
  <dcterms:created xsi:type="dcterms:W3CDTF">2021-02-09T12:08:00Z</dcterms:created>
  <dcterms:modified xsi:type="dcterms:W3CDTF">2025-09-18T06:33:00Z</dcterms:modified>
</cp:coreProperties>
</file>