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5CED5E58" w14:textId="22A174FB" w:rsidR="00505F76" w:rsidRPr="00505F76" w:rsidRDefault="007D1961" w:rsidP="00505F76">
      <w:pPr>
        <w:jc w:val="center"/>
        <w:rPr>
          <w:b/>
          <w:sz w:val="28"/>
        </w:rPr>
      </w:pPr>
      <w:r>
        <w:rPr>
          <w:b/>
          <w:sz w:val="28"/>
        </w:rPr>
        <w:t>Cyklostezka R09, Jihlava – ul. Průmyslová – Heroltice - 1. část</w:t>
      </w:r>
    </w:p>
    <w:p w14:paraId="0291A2A5" w14:textId="2DEFFBAA" w:rsidR="00DB0117" w:rsidRPr="007B2CF0" w:rsidRDefault="00FC7E18" w:rsidP="00D258EF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784A339D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BF0613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14:paraId="40F00B26" w14:textId="2254F32B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6EBB">
        <w:rPr>
          <w:rFonts w:cs="Arial"/>
        </w:rPr>
        <w:t>Miroslav Voda</w:t>
      </w:r>
    </w:p>
    <w:p w14:paraId="067CE237" w14:textId="55B697D8" w:rsidR="007E0B1B" w:rsidRPr="003000E4" w:rsidRDefault="009431C6" w:rsidP="00985259">
      <w:r w:rsidRPr="003000E4">
        <w:t>(dále též jako „objednatel“)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0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bookmarkStart w:id="1" w:name="_GoBack"/>
      <w:bookmarkEnd w:id="1"/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2B658D9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3354DD5D" w:rsidR="00FC7E18" w:rsidRDefault="002A6717" w:rsidP="000D5BB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FB5A8D">
        <w:rPr>
          <w:b/>
        </w:rPr>
        <w:t>„</w:t>
      </w:r>
      <w:r w:rsidR="007D1961" w:rsidRPr="007D1961">
        <w:rPr>
          <w:b/>
          <w:szCs w:val="20"/>
        </w:rPr>
        <w:t>Cyklostezka R09, Jihlava – ul. Průmyslová – Heroltice - 1. část</w:t>
      </w:r>
      <w:r w:rsidR="00A165B0" w:rsidRPr="00A165B0">
        <w:rPr>
          <w:b/>
          <w:szCs w:val="20"/>
        </w:rPr>
        <w:t xml:space="preserve"> - </w:t>
      </w:r>
      <w:r w:rsidR="003C22AC" w:rsidRPr="00A165B0">
        <w:rPr>
          <w:b/>
          <w:szCs w:val="20"/>
        </w:rPr>
        <w:t>činnost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26314C4C" w:rsidR="00D420C5" w:rsidRPr="00E55E7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>práci na staveništi po celou dobu přípravy a reali</w:t>
      </w:r>
      <w:r w:rsidRPr="0031054D">
        <w:lastRenderedPageBreak/>
        <w:t xml:space="preserve">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</w:t>
      </w:r>
      <w:r w:rsidR="00D7605E" w:rsidRPr="000D5BB9">
        <w:rPr>
          <w:szCs w:val="20"/>
        </w:rPr>
        <w:t>dalšími právními předpisy v této smlouvě uvedenými</w:t>
      </w:r>
      <w:r w:rsidR="00F731D2" w:rsidRPr="000D5BB9">
        <w:rPr>
          <w:szCs w:val="20"/>
        </w:rPr>
        <w:t xml:space="preserve">, </w:t>
      </w:r>
      <w:r w:rsidR="00D7605E" w:rsidRPr="000D5BB9">
        <w:rPr>
          <w:szCs w:val="20"/>
        </w:rPr>
        <w:t xml:space="preserve">vše </w:t>
      </w:r>
      <w:r w:rsidR="00F731D2" w:rsidRPr="000D5BB9">
        <w:rPr>
          <w:szCs w:val="20"/>
        </w:rPr>
        <w:t>v platném znění</w:t>
      </w:r>
      <w:r w:rsidR="00D420C5" w:rsidRPr="000D5BB9">
        <w:rPr>
          <w:szCs w:val="20"/>
        </w:rPr>
        <w:t>,</w:t>
      </w:r>
      <w:r w:rsidR="00CA1A47" w:rsidRPr="000D5BB9">
        <w:rPr>
          <w:szCs w:val="20"/>
        </w:rPr>
        <w:t xml:space="preserve"> a </w:t>
      </w:r>
      <w:r w:rsidR="001A6BED" w:rsidRPr="000D5BB9">
        <w:rPr>
          <w:szCs w:val="20"/>
        </w:rPr>
        <w:t>V</w:t>
      </w:r>
      <w:r w:rsidR="00CA1A47" w:rsidRPr="000D5BB9">
        <w:rPr>
          <w:szCs w:val="20"/>
        </w:rPr>
        <w:t xml:space="preserve">ýzvy </w:t>
      </w:r>
      <w:r w:rsidR="001A6BED" w:rsidRPr="000D5BB9">
        <w:rPr>
          <w:szCs w:val="20"/>
        </w:rPr>
        <w:t>k podání nabídek na plnění</w:t>
      </w:r>
      <w:r w:rsidR="001A6BED" w:rsidRPr="00985259">
        <w:rPr>
          <w:szCs w:val="20"/>
        </w:rPr>
        <w:t xml:space="preserve"> </w:t>
      </w:r>
      <w:r w:rsidR="007F43C2" w:rsidRPr="000D5BB9">
        <w:rPr>
          <w:szCs w:val="20"/>
        </w:rPr>
        <w:t>veřejné zakázky, na jej</w:t>
      </w:r>
      <w:r w:rsidR="008E1897" w:rsidRPr="000D5BB9">
        <w:rPr>
          <w:szCs w:val="20"/>
        </w:rPr>
        <w:t>ímž</w:t>
      </w:r>
      <w:r w:rsidR="007F43C2" w:rsidRPr="000D5BB9">
        <w:rPr>
          <w:szCs w:val="20"/>
        </w:rPr>
        <w:t xml:space="preserve"> základě je tato smlouva uzavírána, </w:t>
      </w:r>
      <w:r w:rsidR="00CA1A47" w:rsidRPr="000D5BB9">
        <w:rPr>
          <w:szCs w:val="20"/>
        </w:rPr>
        <w:t xml:space="preserve">ze dne </w:t>
      </w:r>
      <w:r w:rsidR="00C353F1" w:rsidRPr="00E73389">
        <w:rPr>
          <w:szCs w:val="20"/>
        </w:rPr>
        <w:t>xxxxxx</w:t>
      </w:r>
      <w:r w:rsidR="00C353F1" w:rsidRPr="000D5BB9">
        <w:rPr>
          <w:szCs w:val="20"/>
        </w:rPr>
        <w:t xml:space="preserve"> 202</w:t>
      </w:r>
      <w:r w:rsidR="007D1961">
        <w:rPr>
          <w:szCs w:val="20"/>
        </w:rPr>
        <w:t>6</w:t>
      </w:r>
      <w:r w:rsidR="00D258EF" w:rsidRPr="000D5BB9">
        <w:rPr>
          <w:szCs w:val="20"/>
        </w:rPr>
        <w:t xml:space="preserve"> </w:t>
      </w:r>
      <w:r w:rsidR="00D258EF" w:rsidRPr="000D5BB9">
        <w:rPr>
          <w:i/>
          <w:szCs w:val="20"/>
        </w:rPr>
        <w:t xml:space="preserve">[bude doplněno objednatelem </w:t>
      </w:r>
      <w:r w:rsidR="00D258EF" w:rsidRPr="00E55E75">
        <w:rPr>
          <w:i/>
          <w:szCs w:val="20"/>
        </w:rPr>
        <w:t>před podpisem smlouvy]</w:t>
      </w:r>
      <w:r w:rsidRPr="00E55E75">
        <w:t xml:space="preserve"> </w:t>
      </w:r>
      <w:r w:rsidR="001A0C2D" w:rsidRPr="00E55E75">
        <w:t xml:space="preserve">(dále též jako „předmět smlouvy“ či „činnost koordinátora BOZP“). </w:t>
      </w:r>
    </w:p>
    <w:p w14:paraId="2931D2DC" w14:textId="7BFE6E11" w:rsidR="00C273B9" w:rsidRPr="00FB5A8D" w:rsidRDefault="00926DC8" w:rsidP="000D5BB9">
      <w:pPr>
        <w:pStyle w:val="Odstavecseseznamem"/>
        <w:numPr>
          <w:ilvl w:val="0"/>
          <w:numId w:val="25"/>
        </w:numPr>
        <w:rPr>
          <w:szCs w:val="20"/>
        </w:rPr>
      </w:pPr>
      <w:r w:rsidRPr="00E55E75">
        <w:t xml:space="preserve">Činnost koordinátora BOZP se pak vztahuje ke stavbě </w:t>
      </w:r>
      <w:r w:rsidR="00793F5D" w:rsidRPr="00E55E75">
        <w:t xml:space="preserve">v této smlouvě uvedené </w:t>
      </w:r>
      <w:r w:rsidRPr="00E55E75">
        <w:t>r</w:t>
      </w:r>
      <w:r w:rsidR="009D587A" w:rsidRPr="00E55E75">
        <w:t>ealizované na základě projektov</w:t>
      </w:r>
      <w:r w:rsidR="002D6EAD" w:rsidRPr="00E55E75">
        <w:t>é dokumentace</w:t>
      </w:r>
      <w:r w:rsidRPr="00E55E75">
        <w:t xml:space="preserve"> </w:t>
      </w:r>
      <w:r w:rsidR="004C5AAE" w:rsidRPr="00E55E75">
        <w:t xml:space="preserve">pro </w:t>
      </w:r>
      <w:r w:rsidR="00797EC0" w:rsidRPr="00E55E75">
        <w:t xml:space="preserve">provádění </w:t>
      </w:r>
      <w:r w:rsidR="004C5AAE" w:rsidRPr="00E55E75">
        <w:t xml:space="preserve">stavby </w:t>
      </w:r>
      <w:r w:rsidR="00CD4593" w:rsidRPr="00E55E75">
        <w:t>s názvem „</w:t>
      </w:r>
      <w:r w:rsidR="007D1961">
        <w:t>Cyklostezka R09 Jihlava, ul. Průmyslová</w:t>
      </w:r>
      <w:r w:rsidR="00D26EBB">
        <w:t xml:space="preserve"> – </w:t>
      </w:r>
      <w:r w:rsidR="007D1961">
        <w:t>Heroltice</w:t>
      </w:r>
      <w:r w:rsidR="00D26EBB">
        <w:t>“</w:t>
      </w:r>
      <w:r w:rsidR="008104E9" w:rsidRPr="00E55E75">
        <w:t>,</w:t>
      </w:r>
      <w:r w:rsidR="00CD4593" w:rsidRPr="00E55E75">
        <w:rPr>
          <w:szCs w:val="20"/>
        </w:rPr>
        <w:t xml:space="preserve"> vypracované </w:t>
      </w:r>
      <w:r w:rsidR="00D258EF" w:rsidRPr="00E55E75">
        <w:rPr>
          <w:szCs w:val="20"/>
        </w:rPr>
        <w:t>společností</w:t>
      </w:r>
      <w:r w:rsidR="00CD4593" w:rsidRPr="00E55E75">
        <w:rPr>
          <w:szCs w:val="20"/>
        </w:rPr>
        <w:t xml:space="preserve"> </w:t>
      </w:r>
      <w:r w:rsidR="00D26EBB">
        <w:rPr>
          <w:szCs w:val="20"/>
        </w:rPr>
        <w:t>PROfi Jihlava spol. s r.o., Pod Příkopem 6, 586 01 Jihlava</w:t>
      </w:r>
      <w:r w:rsidR="007D1961">
        <w:rPr>
          <w:szCs w:val="20"/>
        </w:rPr>
        <w:t>, IČO: 18198228</w:t>
      </w:r>
      <w:r w:rsidR="000D5BB9" w:rsidRPr="00E73389">
        <w:rPr>
          <w:szCs w:val="20"/>
        </w:rPr>
        <w:t xml:space="preserve"> </w:t>
      </w:r>
      <w:r w:rsidR="00CD4593" w:rsidRPr="00FB5A8D">
        <w:rPr>
          <w:szCs w:val="20"/>
        </w:rPr>
        <w:t>(dále též jako „projektová dokumentace“).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0E36A0B2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60BF8B3A" w14:textId="3F6373B9" w:rsidR="00CE2962" w:rsidRPr="00CE2962" w:rsidRDefault="00CE2962" w:rsidP="00985259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655B5C38" w14:textId="31C3DDB2" w:rsidR="00CE2962" w:rsidRPr="00D420C5" w:rsidRDefault="00CE2962" w:rsidP="00985259">
      <w:pPr>
        <w:pStyle w:val="Odstavecseseznamem"/>
        <w:numPr>
          <w:ilvl w:val="0"/>
          <w:numId w:val="25"/>
        </w:numPr>
      </w:pPr>
      <w:r>
        <w:t xml:space="preserve">Četnost </w:t>
      </w:r>
      <w:r w:rsidR="0080614F"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="0080614F" w:rsidRPr="00E73389">
        <w:rPr>
          <w:rFonts w:cs="Arial"/>
          <w:szCs w:val="20"/>
          <w:u w:val="single"/>
        </w:rPr>
        <w:t xml:space="preserve">tato četnost nesmí být nižší než </w:t>
      </w:r>
      <w:r w:rsidR="000A26B8" w:rsidRPr="00E73389">
        <w:rPr>
          <w:rFonts w:cs="Arial"/>
          <w:szCs w:val="20"/>
          <w:u w:val="single"/>
        </w:rPr>
        <w:t>jedenkrát</w:t>
      </w:r>
      <w:r w:rsidR="0080614F" w:rsidRPr="00E73389">
        <w:rPr>
          <w:rFonts w:cs="Arial"/>
          <w:szCs w:val="20"/>
          <w:u w:val="single"/>
        </w:rPr>
        <w:t xml:space="preserve"> týdně</w:t>
      </w:r>
      <w:r w:rsidR="000A26B8"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54CA0F4B" w:rsidR="001A0C2D" w:rsidRDefault="000B0F11" w:rsidP="0085192F">
      <w:pPr>
        <w:pStyle w:val="Odstavecseseznamem"/>
        <w:numPr>
          <w:ilvl w:val="2"/>
          <w:numId w:val="25"/>
        </w:numPr>
        <w:ind w:left="889"/>
      </w:pPr>
      <w:r>
        <w:t xml:space="preserve">provede a zajistí za objednatele doručení oznámení o zahájení prací </w:t>
      </w:r>
      <w:r w:rsidRPr="008D04BF">
        <w:rPr>
          <w:rFonts w:cs="Arial"/>
        </w:rPr>
        <w:t>při realizaci stavby, jehož náležitosti stanoví prováděcí právní předpis,</w:t>
      </w:r>
      <w:r>
        <w:t xml:space="preserve"> oblastnímu inspektorátu práce příslušnému podle místa staveniště nejpozději 8 dnů před předáním staveniště zhotoviteli stavby dle ust. § 15 odst. 1 zákona č. 306/2006 Sb.</w:t>
      </w:r>
      <w:r w:rsidR="00B71C71">
        <w:t xml:space="preserve"> </w:t>
      </w:r>
      <w:r w:rsidR="001D148C">
        <w:t>Potřebné identifikační údaje</w:t>
      </w:r>
      <w:r w:rsidR="00B71C71">
        <w:t xml:space="preserve"> pro</w:t>
      </w:r>
      <w:r w:rsidR="000F26C4">
        <w:t xml:space="preserve"> vyhotovení</w:t>
      </w:r>
      <w:r w:rsidR="00B71C71">
        <w:t xml:space="preserve"> oznámení o zahájení prací oblastnímu inspektorátu práce budou poskytovateli sděleny písemně v dostatečném předstihu.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101085C5" w14:textId="77777777" w:rsidR="003314D5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</w:t>
      </w:r>
      <w:r w:rsidR="001A6363">
        <w:t>ch</w:t>
      </w:r>
    </w:p>
    <w:p w14:paraId="2B2B97CD" w14:textId="7C66D544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lastRenderedPageBreak/>
        <w:t xml:space="preserve">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lastRenderedPageBreak/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647DD852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  <w:r w:rsidR="00127568">
        <w:t xml:space="preserve"> Jiné </w:t>
      </w:r>
      <w:r w:rsidR="00127568" w:rsidRPr="006D3AC5">
        <w:t>osoby musí být členy realizačního týmu uvedenými v seznamu techniků ve smyslu Výzvy</w:t>
      </w:r>
      <w:r w:rsidR="00127568" w:rsidRPr="00143B0C">
        <w:rPr>
          <w:szCs w:val="20"/>
        </w:rPr>
        <w:t xml:space="preserve"> k podání nabídek na plnění veřejné zakázky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0A66E551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2877FDDD" w14:textId="7467B63F" w:rsidR="00127568" w:rsidRDefault="00127568" w:rsidP="00B238B1">
      <w:pPr>
        <w:pStyle w:val="Odstavecseseznamem"/>
        <w:numPr>
          <w:ilvl w:val="0"/>
          <w:numId w:val="27"/>
        </w:numPr>
        <w:ind w:left="360"/>
      </w:pPr>
      <w:r>
        <w:t>Poskytova</w:t>
      </w:r>
      <w:r w:rsidR="00400BE8">
        <w:t>te</w:t>
      </w:r>
      <w:r>
        <w:t xml:space="preserve">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0E70D0FC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="00C353F1" w:rsidRPr="00E73389">
        <w:t>xxxxxxx 202</w:t>
      </w:r>
      <w:r w:rsidR="0050274D">
        <w:t>6</w:t>
      </w:r>
      <w:r w:rsidR="00C353F1">
        <w:t xml:space="preserve"> </w:t>
      </w:r>
      <w:r w:rsidR="00C353F1" w:rsidRPr="0059438F">
        <w:rPr>
          <w:i/>
          <w:szCs w:val="20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14:paraId="0C4AC756" w14:textId="1F11723E" w:rsidR="00B4637A" w:rsidRPr="00A165B0" w:rsidRDefault="00B4637A" w:rsidP="00B4637A">
      <w:pPr>
        <w:ind w:firstLine="360"/>
        <w:rPr>
          <w:b/>
          <w:sz w:val="22"/>
        </w:rPr>
      </w:pPr>
      <w:r w:rsidRPr="00A165B0">
        <w:rPr>
          <w:b/>
          <w:sz w:val="22"/>
        </w:rPr>
        <w:t xml:space="preserve">Cena </w:t>
      </w:r>
      <w:r w:rsidR="00D433F7" w:rsidRPr="00A165B0">
        <w:rPr>
          <w:b/>
          <w:sz w:val="22"/>
        </w:rPr>
        <w:t>celkem činí:</w:t>
      </w:r>
      <w:r w:rsidRPr="00A165B0">
        <w:rPr>
          <w:b/>
          <w:sz w:val="22"/>
        </w:rPr>
        <w:tab/>
      </w:r>
      <w:r w:rsidRPr="00A165B0">
        <w:rPr>
          <w:b/>
          <w:sz w:val="22"/>
        </w:rPr>
        <w:tab/>
      </w:r>
      <w:permStart w:id="1459489150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459489150"/>
      <w:r w:rsidRPr="00A165B0">
        <w:rPr>
          <w:b/>
          <w:sz w:val="22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lastRenderedPageBreak/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20DACD9E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D55DB8">
        <w:t>podepsané uznávaným</w:t>
      </w:r>
      <w:r w:rsidR="00167FB8" w:rsidRPr="00010BFE">
        <w:t xml:space="preserve"> elektronickým podpisem.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lastRenderedPageBreak/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3B18CAA6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3F6A42">
        <w:t xml:space="preserve"> či uvedení stavby do zkušebního provozu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25C9CEE7" w:rsidR="00BA3452" w:rsidRPr="00092DBD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092DBD">
        <w:t>–</w:t>
      </w:r>
      <w:r w:rsidRPr="00092DBD">
        <w:t xml:space="preserve"> </w:t>
      </w:r>
      <w:r w:rsidR="0050274D">
        <w:rPr>
          <w:b/>
        </w:rPr>
        <w:t>24</w:t>
      </w:r>
      <w:r w:rsidR="00942BE8">
        <w:rPr>
          <w:b/>
        </w:rPr>
        <w:t>0</w:t>
      </w:r>
      <w:r w:rsidR="00C353F1" w:rsidRPr="00092DBD">
        <w:rPr>
          <w:b/>
        </w:rPr>
        <w:t xml:space="preserve"> kalendářních dnů</w:t>
      </w:r>
    </w:p>
    <w:p w14:paraId="359332E4" w14:textId="11B8718B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50274D">
        <w:rPr>
          <w:b/>
        </w:rPr>
        <w:t>duben</w:t>
      </w:r>
      <w:r w:rsidR="000B0F11" w:rsidRPr="00092DBD">
        <w:rPr>
          <w:b/>
        </w:rPr>
        <w:t xml:space="preserve"> 202</w:t>
      </w:r>
      <w:r w:rsidR="0050274D">
        <w:rPr>
          <w:b/>
        </w:rPr>
        <w:t>6</w:t>
      </w:r>
    </w:p>
    <w:p w14:paraId="0168DB20" w14:textId="2A470451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lastRenderedPageBreak/>
        <w:t xml:space="preserve">Místem plnění </w:t>
      </w:r>
      <w:r w:rsidR="005E2A7D" w:rsidRPr="003000E4">
        <w:t>jsou pozemky parcelních čísel spe</w:t>
      </w:r>
      <w:r w:rsidR="0004631B">
        <w:t>cifikované pro stavbu projektov</w:t>
      </w:r>
      <w:r w:rsidR="004D0B76">
        <w:t>ou</w:t>
      </w:r>
      <w:r w:rsidR="0004631B">
        <w:t xml:space="preserve"> dokumentac</w:t>
      </w:r>
      <w:r w:rsidR="004D0B76">
        <w:t>í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017D7205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4D0B76">
        <w:t>5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8105D43" w14:textId="7E0D04F4" w:rsidR="0085795A" w:rsidRPr="00DC58FC" w:rsidRDefault="0085795A" w:rsidP="0085795A">
      <w:pPr>
        <w:pStyle w:val="Nadpis1"/>
      </w:pPr>
      <w:r w:rsidRPr="00DC58FC">
        <w:lastRenderedPageBreak/>
        <w:t xml:space="preserve">Ukončení smlouvy dohodou, výpovědí, odstoupením od smlouvy </w:t>
      </w:r>
    </w:p>
    <w:p w14:paraId="6A791B99" w14:textId="5D72D3C7" w:rsidR="0003446D" w:rsidRPr="00DC58FC" w:rsidRDefault="0085795A" w:rsidP="0085795A">
      <w:pPr>
        <w:pStyle w:val="Odstavecseseznamem"/>
        <w:numPr>
          <w:ilvl w:val="0"/>
          <w:numId w:val="34"/>
        </w:numPr>
      </w:pPr>
      <w:r w:rsidRPr="00DC58FC">
        <w:t xml:space="preserve">Tuto smlouvu je možné ukončit písemnou dohodou smluvních stran. 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DC58FC">
        <w:t xml:space="preserve">Pokud jedna ze smluvních stran poruší </w:t>
      </w:r>
      <w:r w:rsidR="001D5D3D" w:rsidRPr="00DC58FC">
        <w:t xml:space="preserve">podstatným </w:t>
      </w:r>
      <w:r w:rsidRPr="00DC58FC">
        <w:t xml:space="preserve">způsobem své povinnosti, je druhá smluvní strana oprávněna od této smlouvy písemně </w:t>
      </w:r>
      <w:r w:rsidRPr="003000E4">
        <w:t xml:space="preserve">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426DD22C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</w:t>
      </w:r>
      <w:r w:rsidR="004D0B76" w:rsidRPr="00191A0E">
        <w:t xml:space="preserve">je oprávněn od této smlouvy odstoupit, a to za podmínek stanovených zákonem a dále v případě podstatného porušení povinností </w:t>
      </w:r>
      <w:r w:rsidR="004D0B76">
        <w:t>poskytovatele</w:t>
      </w:r>
      <w:r w:rsidR="004D0B76" w:rsidRPr="00191A0E">
        <w:t xml:space="preserve"> vyplývajících z této smlouvy, pokud k nápravě nedojde ani na základě písemné výzvy objednatele, která bude obsahovat upozornění na možnost odstoupení od smlouvy. Účinky odstoupení nastávají okamžitě po doručení písemného odstoupení </w:t>
      </w:r>
      <w:r w:rsidR="004D0B76">
        <w:t>poskytovateli</w:t>
      </w:r>
      <w:r w:rsidR="004D0B76" w:rsidRPr="00191A0E">
        <w:t xml:space="preserve">. Smluvní strany se dohodly, že odstoupení </w:t>
      </w:r>
      <w:r w:rsidR="004D0B76">
        <w:t>o</w:t>
      </w:r>
      <w:r w:rsidR="004D0B76" w:rsidRPr="00191A0E">
        <w:t xml:space="preserve">bjednatele od </w:t>
      </w:r>
      <w:r w:rsidR="004D0B76">
        <w:t>s</w:t>
      </w:r>
      <w:r w:rsidR="004D0B76" w:rsidRPr="00191A0E">
        <w:t xml:space="preserve">mlouvy je účinné dnem jeho doručení </w:t>
      </w:r>
      <w:r w:rsidR="004D0B76">
        <w:t>poskytovateli</w:t>
      </w:r>
      <w:r w:rsidR="004D0B76" w:rsidRPr="00191A0E">
        <w:t xml:space="preserve">, nejpozději uplynutím desátého (10.) kalendářního dne po jeho odeslání </w:t>
      </w:r>
      <w:r w:rsidR="004D0B76">
        <w:t>do datové schránky poskytovatele</w:t>
      </w:r>
      <w:r w:rsidR="004D0B76" w:rsidRPr="00191A0E">
        <w:t xml:space="preserve">. V takovém případě je objednatel povinen </w:t>
      </w:r>
      <w:r w:rsidR="004D0B76">
        <w:t>poskytovateli</w:t>
      </w:r>
      <w:r w:rsidR="004D0B76" w:rsidRPr="00191A0E">
        <w:t xml:space="preserve"> uhradit účelně vynaložené náklady související s</w:t>
      </w:r>
      <w:r w:rsidR="004D0B76">
        <w:t> jeho činností koordinátora BOZP dle této smlouvy</w:t>
      </w:r>
      <w:r w:rsidR="004D0B76" w:rsidRPr="00191A0E">
        <w:t xml:space="preserve">, a to do okamžiku doručení písemného odstoupení, které však </w:t>
      </w:r>
      <w:r w:rsidR="004D0B76">
        <w:t>poskytovatel</w:t>
      </w:r>
      <w:r w:rsidR="004D0B76" w:rsidRPr="00191A0E">
        <w:t xml:space="preserve"> objednateli prokáže</w:t>
      </w:r>
      <w:r w:rsidRPr="003000E4">
        <w:t xml:space="preserve">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6321369B" w:rsidR="0031054D" w:rsidRDefault="0003446D" w:rsidP="00327711">
      <w:pPr>
        <w:pStyle w:val="Odstavecseseznamem"/>
        <w:numPr>
          <w:ilvl w:val="0"/>
          <w:numId w:val="34"/>
        </w:numPr>
      </w:pPr>
      <w:r w:rsidRPr="00DB0CD4">
        <w:t xml:space="preserve">Ke dni </w:t>
      </w:r>
      <w:r w:rsidR="00397020" w:rsidRPr="00DB0CD4">
        <w:t xml:space="preserve">nabytí </w:t>
      </w:r>
      <w:r w:rsidRPr="00DB0CD4">
        <w:t xml:space="preserve">účinnosti </w:t>
      </w:r>
      <w:r w:rsidR="001A0D40" w:rsidRPr="00DB0CD4">
        <w:t xml:space="preserve">písemné </w:t>
      </w:r>
      <w:r w:rsidRPr="00DB0CD4">
        <w:t xml:space="preserve">výpovědi </w:t>
      </w:r>
      <w:r w:rsidR="001A0D40" w:rsidRPr="00DB0CD4">
        <w:t xml:space="preserve">dle odst. 3. tohoto článku </w:t>
      </w:r>
      <w:r w:rsidR="00397020" w:rsidRPr="00DB0CD4">
        <w:t xml:space="preserve">a k okamžiku doručení písemného odstoupení dle odst. </w:t>
      </w:r>
      <w:r w:rsidR="00343359" w:rsidRPr="00DB0CD4">
        <w:t>2</w:t>
      </w:r>
      <w:r w:rsidR="00397020" w:rsidRPr="00DB0CD4">
        <w:t xml:space="preserve">. tohoto </w:t>
      </w:r>
      <w:r w:rsidR="00397020">
        <w:t>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</w:t>
      </w:r>
      <w:r>
        <w:lastRenderedPageBreak/>
        <w:t>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27E97624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</w:t>
      </w:r>
      <w:r w:rsidRPr="00E73389">
        <w:rPr>
          <w:i/>
        </w:rPr>
        <w:t>.</w:t>
      </w:r>
      <w:r w:rsidR="00D55DB8" w:rsidRPr="00E73389">
        <w:rPr>
          <w:i/>
        </w:rPr>
        <w:t>/ Tato smlouva byla oprávněnými zástupci smluvních stran podepsána elektronickými prostředky za použití uznávaného elektronického podpisu</w:t>
      </w:r>
      <w:r w:rsidR="00D55DB8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0A24BF6C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7268371F" w14:textId="040C0623" w:rsidR="009D0174" w:rsidRPr="00B67915" w:rsidRDefault="009D0174" w:rsidP="00505F76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23179A79" w14:textId="7313A488" w:rsidR="009D0174" w:rsidRPr="00B67915" w:rsidRDefault="009D0174" w:rsidP="009D0174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permStart w:id="29225314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292253146"/>
    </w:p>
    <w:p w14:paraId="5B8DD152" w14:textId="77777777" w:rsidR="009D0174" w:rsidRDefault="009D0174" w:rsidP="009D0174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6B4FC06A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Pr="003000E4">
        <w:t>právněna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50274D">
        <w:rPr>
          <w:bCs/>
        </w:rPr>
        <w:t>Michal Horňák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  <w:r w:rsidRPr="004525D1">
        <w:rPr>
          <w:bCs/>
        </w:rPr>
        <w:t>, Magistrátu</w:t>
      </w:r>
      <w:r w:rsidRPr="003000E4">
        <w:rPr>
          <w:bCs/>
        </w:rPr>
        <w:t xml:space="preserve"> města Jihlavy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B16A3F" w:rsidRDefault="009F6937" w:rsidP="009F6937">
      <w:pPr>
        <w:jc w:val="center"/>
        <w:rPr>
          <w:b/>
        </w:rPr>
      </w:pPr>
      <w:r w:rsidRPr="00B16A3F">
        <w:rPr>
          <w:b/>
        </w:rPr>
        <w:t>z m o c ň u j e</w:t>
      </w:r>
    </w:p>
    <w:p w14:paraId="57FC2D06" w14:textId="20AAEFEE" w:rsidR="009F6937" w:rsidRPr="007D4AA7" w:rsidRDefault="009F6937" w:rsidP="009F6937">
      <w:pPr>
        <w:spacing w:after="0"/>
      </w:pPr>
      <w:r w:rsidRPr="007D4AA7">
        <w:rPr>
          <w:i/>
          <w:iCs/>
        </w:rPr>
        <w:t>(Poskytovatel)</w:t>
      </w:r>
      <w:r w:rsidRPr="007D4AA7">
        <w:rPr>
          <w:b/>
          <w:i/>
          <w:iCs/>
        </w:rPr>
        <w:t xml:space="preserve"> </w:t>
      </w:r>
      <w:permStart w:id="506410201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506410201"/>
    </w:p>
    <w:p w14:paraId="00582097" w14:textId="2E80E0D3" w:rsidR="009F6937" w:rsidRPr="007D4AA7" w:rsidRDefault="009F6937" w:rsidP="009F6937">
      <w:pPr>
        <w:spacing w:after="0"/>
      </w:pPr>
      <w:r w:rsidRPr="007D4AA7">
        <w:t xml:space="preserve">IČO: </w:t>
      </w:r>
      <w:permStart w:id="1546983714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1546983714"/>
    </w:p>
    <w:p w14:paraId="4FE6F96D" w14:textId="48F53806" w:rsidR="009F6937" w:rsidRPr="007D4AA7" w:rsidRDefault="009F6937" w:rsidP="009F6937">
      <w:pPr>
        <w:spacing w:after="0"/>
      </w:pPr>
      <w:r w:rsidRPr="007D4AA7">
        <w:t xml:space="preserve">Zastoupen: </w:t>
      </w:r>
      <w:permStart w:id="1822575066" w:edGrp="everyone"/>
      <w:r w:rsidR="00C353F1" w:rsidRPr="007D4AA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7D4AA7">
        <w:rPr>
          <w:rFonts w:cs="Arial"/>
          <w:b/>
        </w:rPr>
        <w:instrText xml:space="preserve"> FORMTEXT </w:instrText>
      </w:r>
      <w:r w:rsidR="00C353F1" w:rsidRPr="007D4AA7">
        <w:rPr>
          <w:rFonts w:cs="Arial"/>
          <w:b/>
        </w:rPr>
      </w:r>
      <w:r w:rsidR="00C353F1" w:rsidRPr="007D4AA7">
        <w:rPr>
          <w:rFonts w:cs="Arial"/>
          <w:b/>
        </w:rPr>
        <w:fldChar w:fldCharType="separate"/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  <w:noProof/>
        </w:rPr>
        <w:t> </w:t>
      </w:r>
      <w:r w:rsidR="00C353F1" w:rsidRPr="007D4AA7">
        <w:rPr>
          <w:rFonts w:cs="Arial"/>
          <w:b/>
        </w:rPr>
        <w:fldChar w:fldCharType="end"/>
      </w:r>
      <w:permEnd w:id="1822575066"/>
    </w:p>
    <w:p w14:paraId="6AFBA9C1" w14:textId="77777777" w:rsidR="009F6937" w:rsidRPr="00720D65" w:rsidRDefault="009F6937" w:rsidP="009F6937">
      <w:r w:rsidRPr="00720D65">
        <w:t xml:space="preserve">(dále též jako „zmocněnec“) </w:t>
      </w:r>
    </w:p>
    <w:p w14:paraId="546CCE73" w14:textId="23DC6B89" w:rsidR="000D5BB9" w:rsidRPr="00720D65" w:rsidRDefault="009F6937" w:rsidP="00720D65">
      <w:pPr>
        <w:rPr>
          <w:szCs w:val="20"/>
        </w:rPr>
      </w:pPr>
      <w:r w:rsidRPr="00720D65">
        <w:rPr>
          <w:rFonts w:cs="Arial"/>
          <w:szCs w:val="20"/>
        </w:rPr>
        <w:t xml:space="preserve">aby za Statutární město Jihlava, se sídlem Masarykovo nám. 97/1, 586 01 Jihlava, IČO: 00286010, v souladu s § 15 odst. </w:t>
      </w:r>
      <w:smartTag w:uri="urn:schemas-microsoft-com:office:smarttags" w:element="metricconverter">
        <w:smartTagPr>
          <w:attr w:name="st" w:val="on"/>
          <w:attr w:name="ProductID" w:val="1 a"/>
        </w:smartTagPr>
        <w:r w:rsidRPr="00720D65">
          <w:rPr>
            <w:rFonts w:cs="Arial"/>
            <w:szCs w:val="20"/>
          </w:rPr>
          <w:t>1 a</w:t>
        </w:r>
      </w:smartTag>
      <w:r w:rsidRPr="00720D65">
        <w:rPr>
          <w:rFonts w:cs="Arial"/>
          <w:szCs w:val="20"/>
        </w:rPr>
        <w:t xml:space="preserve"> 2,  zákona č. 309/2006 Sb. v platném a účinném znění, doručila oznámení o zahájení stavebních prací, včetně opravných oznámení a prováděla jeho aktualizaci  územně příslušnému oblastnímu inspektorátu práce,  nebo příslušným oblastním inspektorátům práce podle místa staveniště a dále jednala s  orgány státní správy - místně příslušnými Oblastními inspektoráty práce </w:t>
      </w:r>
      <w:r w:rsidRPr="00720D65">
        <w:t>v rámci provádění stavby s názvem „</w:t>
      </w:r>
      <w:r w:rsidR="0050274D" w:rsidRPr="0050274D">
        <w:rPr>
          <w:b/>
        </w:rPr>
        <w:t>Cyklostezka R09</w:t>
      </w:r>
      <w:r w:rsidR="0050274D">
        <w:rPr>
          <w:b/>
        </w:rPr>
        <w:t xml:space="preserve">, </w:t>
      </w:r>
      <w:r w:rsidR="0050274D" w:rsidRPr="0050274D">
        <w:rPr>
          <w:b/>
        </w:rPr>
        <w:t>Jihlava</w:t>
      </w:r>
      <w:r w:rsidR="0050274D">
        <w:rPr>
          <w:b/>
        </w:rPr>
        <w:t xml:space="preserve"> -</w:t>
      </w:r>
      <w:r w:rsidR="0050274D" w:rsidRPr="0050274D">
        <w:rPr>
          <w:b/>
        </w:rPr>
        <w:t xml:space="preserve"> ul. Průmyslová – Heroltice</w:t>
      </w:r>
      <w:r w:rsidR="0050274D">
        <w:rPr>
          <w:b/>
        </w:rPr>
        <w:t xml:space="preserve"> </w:t>
      </w:r>
      <w:r w:rsidR="0058490D">
        <w:rPr>
          <w:b/>
        </w:rPr>
        <w:t>–</w:t>
      </w:r>
      <w:r w:rsidR="0050274D">
        <w:rPr>
          <w:b/>
        </w:rPr>
        <w:t xml:space="preserve"> </w:t>
      </w:r>
      <w:r w:rsidR="0058490D">
        <w:rPr>
          <w:b/>
        </w:rPr>
        <w:t xml:space="preserve">1. </w:t>
      </w:r>
      <w:r w:rsidR="0050274D">
        <w:rPr>
          <w:b/>
        </w:rPr>
        <w:t>část</w:t>
      </w:r>
      <w:r w:rsidR="0050274D">
        <w:t>“</w:t>
      </w:r>
      <w:r w:rsidR="0050274D" w:rsidRPr="00E55E75">
        <w:t>,</w:t>
      </w:r>
      <w:r w:rsidR="0050274D" w:rsidRPr="00E55E75">
        <w:rPr>
          <w:szCs w:val="20"/>
        </w:rPr>
        <w:t xml:space="preserve"> vypracované společností </w:t>
      </w:r>
      <w:r w:rsidR="0050274D">
        <w:rPr>
          <w:szCs w:val="20"/>
        </w:rPr>
        <w:t>PROfi Jihlava spol. s r.o., Pod Příkopem 6, 586 01 Jihlava, IČO: 18198228</w:t>
      </w:r>
      <w:r w:rsidR="000D5BB9" w:rsidRPr="00720D65">
        <w:rPr>
          <w:szCs w:val="20"/>
        </w:rPr>
        <w:t xml:space="preserve"> (dále též jako „projektová dokumentace“).</w:t>
      </w:r>
    </w:p>
    <w:p w14:paraId="150E9E4C" w14:textId="77777777" w:rsidR="009F6937" w:rsidRDefault="009F6937" w:rsidP="009F6937">
      <w:pPr>
        <w:rPr>
          <w:szCs w:val="20"/>
        </w:rPr>
      </w:pPr>
      <w:r>
        <w:rPr>
          <w:szCs w:val="20"/>
        </w:rPr>
        <w:t>Zmocněnec je oprávněn jednat v souladu s výše uvedenými právními předpisy za zmocnitele a účastnit se veškerých řízení, místních šetření souvisejících s předmětem této plné moci.</w:t>
      </w:r>
    </w:p>
    <w:p w14:paraId="6CDB7B0F" w14:textId="77777777" w:rsidR="009F6937" w:rsidRPr="00B16A3F" w:rsidRDefault="009F6937" w:rsidP="009F6937">
      <w:r>
        <w:rPr>
          <w:szCs w:val="20"/>
        </w:rPr>
        <w:t>Plná moc se vztahuje na vypracování (náležitosti oznámení a zahájení prací příloha č. 4 k nařízení vlády č. 591/2006 Sb.), doručení (§ 15 odst. 1 a 2 zákona č. 309/2006 Sb.), aktualizaci a podání opravných „Oznámení o zahájení stavebních prací“.</w:t>
      </w:r>
    </w:p>
    <w:p w14:paraId="3B0CEA28" w14:textId="03549C9F" w:rsidR="009F6937" w:rsidRPr="003106EC" w:rsidRDefault="009F6937" w:rsidP="009F6937">
      <w:r w:rsidRPr="00BC7243">
        <w:rPr>
          <w:bCs/>
        </w:rPr>
        <w:t xml:space="preserve">Platnost této plné moci je stanovena v souladu se </w:t>
      </w:r>
      <w:r w:rsidRPr="00BC7243">
        <w:rPr>
          <w:b/>
          <w:bCs/>
        </w:rPr>
        <w:t xml:space="preserve">Smlouvou o zajištění koordinátora BOZP </w:t>
      </w:r>
      <w:r w:rsidRPr="00BC7243">
        <w:rPr>
          <w:bCs/>
        </w:rPr>
        <w:t>na </w:t>
      </w:r>
      <w:r w:rsidRPr="00720D65">
        <w:rPr>
          <w:bCs/>
        </w:rPr>
        <w:t>stavbě</w:t>
      </w:r>
      <w:r w:rsidRPr="00720D65">
        <w:t xml:space="preserve"> </w:t>
      </w:r>
      <w:r w:rsidRPr="00720D65">
        <w:rPr>
          <w:b/>
        </w:rPr>
        <w:t>„</w:t>
      </w:r>
      <w:r w:rsidR="0058490D" w:rsidRPr="0050274D">
        <w:rPr>
          <w:b/>
        </w:rPr>
        <w:t>Cyklostezka R09</w:t>
      </w:r>
      <w:r w:rsidR="0058490D">
        <w:rPr>
          <w:b/>
        </w:rPr>
        <w:t xml:space="preserve">, </w:t>
      </w:r>
      <w:r w:rsidR="0058490D" w:rsidRPr="0050274D">
        <w:rPr>
          <w:b/>
        </w:rPr>
        <w:t>Jihlava</w:t>
      </w:r>
      <w:r w:rsidR="0058490D">
        <w:rPr>
          <w:b/>
        </w:rPr>
        <w:t xml:space="preserve"> -</w:t>
      </w:r>
      <w:r w:rsidR="0058490D" w:rsidRPr="0050274D">
        <w:rPr>
          <w:b/>
        </w:rPr>
        <w:t xml:space="preserve"> ul. Průmyslová – Heroltice</w:t>
      </w:r>
      <w:r w:rsidR="0058490D">
        <w:rPr>
          <w:b/>
        </w:rPr>
        <w:t xml:space="preserve"> – 1. část</w:t>
      </w:r>
      <w:r w:rsidRPr="00720D65">
        <w:rPr>
          <w:rFonts w:eastAsia="Times New Roman"/>
          <w:b/>
          <w:bCs/>
          <w:lang w:eastAsia="cs-CZ"/>
        </w:rPr>
        <w:t>“</w:t>
      </w:r>
      <w:r w:rsidRPr="00720D65">
        <w:rPr>
          <w:b/>
        </w:rPr>
        <w:t xml:space="preserve">, </w:t>
      </w:r>
      <w:r w:rsidRPr="00720D65">
        <w:t>a je platná a účinná do okamžiku řádného dokončení stavby, podpisu</w:t>
      </w:r>
      <w:r w:rsidRPr="00BC7243">
        <w:t xml:space="preserve"> předávacích protokolů stavby, vydáním kolaudačního souhlasu stavby a podepsáním zápisu o odstranění případných všech vad a nedodělků </w:t>
      </w:r>
      <w:r w:rsidRPr="003106EC">
        <w:t xml:space="preserve">stavby. </w:t>
      </w:r>
    </w:p>
    <w:p w14:paraId="797FD62C" w14:textId="229FBBE9" w:rsidR="009F6937" w:rsidRPr="003106EC" w:rsidRDefault="009F6937" w:rsidP="009F6937"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9F6937">
      <w:r w:rsidRPr="003000E4">
        <w:t>zastoupení zmocnitele v plném rozsahu přijímá.</w:t>
      </w:r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E73389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042A4225" w:rsidR="009F6937" w:rsidRPr="003000E4" w:rsidRDefault="009F6937" w:rsidP="009F6937">
      <w:r w:rsidRPr="003106EC">
        <w:lastRenderedPageBreak/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58490D">
        <w:t>2026</w:t>
      </w:r>
    </w:p>
    <w:p w14:paraId="78E2E098" w14:textId="77777777" w:rsidR="009F6937" w:rsidRDefault="009F6937" w:rsidP="009F6937"/>
    <w:p w14:paraId="32CF319D" w14:textId="77777777" w:rsidR="009F6937" w:rsidRPr="003000E4" w:rsidRDefault="009F6937" w:rsidP="009F6937"/>
    <w:p w14:paraId="51AF1A64" w14:textId="19EBECAD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1416958118" w:edGrp="everyone"/>
      <w:permStart w:id="858737289" w:edGrp="everyone"/>
      <w:r w:rsidR="000B556E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556E">
        <w:rPr>
          <w:rFonts w:cs="Arial"/>
          <w:b/>
        </w:rPr>
        <w:instrText xml:space="preserve"> FORMTEXT </w:instrText>
      </w:r>
      <w:r w:rsidR="000B556E">
        <w:rPr>
          <w:rFonts w:cs="Arial"/>
          <w:b/>
        </w:rPr>
      </w:r>
      <w:r w:rsidR="000B556E">
        <w:rPr>
          <w:rFonts w:cs="Arial"/>
          <w:b/>
        </w:rPr>
        <w:fldChar w:fldCharType="separate"/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  <w:noProof/>
        </w:rPr>
        <w:t> </w:t>
      </w:r>
      <w:r w:rsidR="000B556E">
        <w:rPr>
          <w:rFonts w:cs="Arial"/>
          <w:b/>
        </w:rPr>
        <w:fldChar w:fldCharType="end"/>
      </w:r>
      <w:permEnd w:id="1416958118"/>
      <w:permEnd w:id="85873728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p w14:paraId="298A4B5E" w14:textId="2276DC4B" w:rsidR="00E655DD" w:rsidRPr="003000E4" w:rsidRDefault="00E655DD" w:rsidP="009F6937">
      <w:pPr>
        <w:tabs>
          <w:tab w:val="center" w:pos="2268"/>
        </w:tabs>
        <w:spacing w:after="120" w:line="240" w:lineRule="auto"/>
        <w:jc w:val="center"/>
        <w:rPr>
          <w:b/>
          <w:sz w:val="18"/>
        </w:rPr>
      </w:pPr>
    </w:p>
    <w:sectPr w:rsidR="00E655DD" w:rsidRPr="003000E4" w:rsidSect="004E0729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C0D28" w14:textId="77777777" w:rsidR="00BD4C48" w:rsidRDefault="00BD4C48" w:rsidP="00B21222">
      <w:pPr>
        <w:spacing w:after="0" w:line="240" w:lineRule="auto"/>
      </w:pPr>
      <w:r>
        <w:separator/>
      </w:r>
    </w:p>
  </w:endnote>
  <w:endnote w:type="continuationSeparator" w:id="0">
    <w:p w14:paraId="2E2907DC" w14:textId="77777777" w:rsidR="00BD4C48" w:rsidRDefault="00BD4C48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46136712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13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2413849C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93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77777777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9F6937">
          <w:rPr>
            <w:rFonts w:cs="Arial"/>
            <w:noProof/>
          </w:rPr>
          <w:t>8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38F0DDE8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6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89B1" w14:textId="77777777" w:rsidR="00BD4C48" w:rsidRDefault="00BD4C48" w:rsidP="00B21222">
      <w:pPr>
        <w:spacing w:after="0" w:line="240" w:lineRule="auto"/>
      </w:pPr>
      <w:r>
        <w:separator/>
      </w:r>
    </w:p>
  </w:footnote>
  <w:footnote w:type="continuationSeparator" w:id="0">
    <w:p w14:paraId="1528815C" w14:textId="77777777" w:rsidR="00BD4C48" w:rsidRDefault="00BD4C48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DA707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  <w:num w:numId="3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1NFo/5CGBaYCH4GzvFp0eSyzUI1UDM3itAtqM/sxyuk/3C1L2Z9d0jIimYo0Z1jnQ0j7hJqKUKi5pz5PR3v1bg==" w:salt="55jMjdYo7Vy97besGbeEF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92DBD"/>
    <w:rsid w:val="000A26B8"/>
    <w:rsid w:val="000B0F11"/>
    <w:rsid w:val="000B2921"/>
    <w:rsid w:val="000B556E"/>
    <w:rsid w:val="000B68DC"/>
    <w:rsid w:val="000D5BB9"/>
    <w:rsid w:val="000E5AB9"/>
    <w:rsid w:val="000F26C4"/>
    <w:rsid w:val="000F5A76"/>
    <w:rsid w:val="00100FFF"/>
    <w:rsid w:val="001060C9"/>
    <w:rsid w:val="0011334A"/>
    <w:rsid w:val="0011702C"/>
    <w:rsid w:val="00124FC5"/>
    <w:rsid w:val="0012739D"/>
    <w:rsid w:val="00127568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363"/>
    <w:rsid w:val="001A6BED"/>
    <w:rsid w:val="001B430E"/>
    <w:rsid w:val="001B6A94"/>
    <w:rsid w:val="001B7E52"/>
    <w:rsid w:val="001C11A4"/>
    <w:rsid w:val="001D148C"/>
    <w:rsid w:val="001D2D87"/>
    <w:rsid w:val="001D2F22"/>
    <w:rsid w:val="001D5D3D"/>
    <w:rsid w:val="001E1759"/>
    <w:rsid w:val="001F5D00"/>
    <w:rsid w:val="001F663C"/>
    <w:rsid w:val="002045E9"/>
    <w:rsid w:val="00214FC9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14D5"/>
    <w:rsid w:val="003360E4"/>
    <w:rsid w:val="00343359"/>
    <w:rsid w:val="0034347C"/>
    <w:rsid w:val="003476F9"/>
    <w:rsid w:val="003531BF"/>
    <w:rsid w:val="00360931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313E"/>
    <w:rsid w:val="003F30DB"/>
    <w:rsid w:val="003F425F"/>
    <w:rsid w:val="003F4D04"/>
    <w:rsid w:val="003F6A42"/>
    <w:rsid w:val="003F7EA5"/>
    <w:rsid w:val="00400BE8"/>
    <w:rsid w:val="00412F32"/>
    <w:rsid w:val="00415DDC"/>
    <w:rsid w:val="00426464"/>
    <w:rsid w:val="00436674"/>
    <w:rsid w:val="00451D56"/>
    <w:rsid w:val="004525D1"/>
    <w:rsid w:val="00461CDB"/>
    <w:rsid w:val="004653A2"/>
    <w:rsid w:val="0047085F"/>
    <w:rsid w:val="00481225"/>
    <w:rsid w:val="004815A6"/>
    <w:rsid w:val="00484CBC"/>
    <w:rsid w:val="0048709D"/>
    <w:rsid w:val="0049488E"/>
    <w:rsid w:val="00497424"/>
    <w:rsid w:val="004B4737"/>
    <w:rsid w:val="004B6EBB"/>
    <w:rsid w:val="004C559A"/>
    <w:rsid w:val="004C5AAE"/>
    <w:rsid w:val="004D0B76"/>
    <w:rsid w:val="004D17A0"/>
    <w:rsid w:val="004E6375"/>
    <w:rsid w:val="004F5D45"/>
    <w:rsid w:val="004F68CE"/>
    <w:rsid w:val="004F7E60"/>
    <w:rsid w:val="00500246"/>
    <w:rsid w:val="0050274D"/>
    <w:rsid w:val="00502E23"/>
    <w:rsid w:val="00505826"/>
    <w:rsid w:val="00505F76"/>
    <w:rsid w:val="005072E4"/>
    <w:rsid w:val="00517226"/>
    <w:rsid w:val="005212F2"/>
    <w:rsid w:val="00533A75"/>
    <w:rsid w:val="0054072E"/>
    <w:rsid w:val="005659CD"/>
    <w:rsid w:val="0057211C"/>
    <w:rsid w:val="00572D44"/>
    <w:rsid w:val="005779BD"/>
    <w:rsid w:val="00581CBE"/>
    <w:rsid w:val="0058490D"/>
    <w:rsid w:val="00587CA9"/>
    <w:rsid w:val="005939FD"/>
    <w:rsid w:val="0059438F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8B1"/>
    <w:rsid w:val="00670BCD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7030CA"/>
    <w:rsid w:val="00706626"/>
    <w:rsid w:val="007101B9"/>
    <w:rsid w:val="00710EBC"/>
    <w:rsid w:val="00720D65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3775"/>
    <w:rsid w:val="00793F5D"/>
    <w:rsid w:val="00797EC0"/>
    <w:rsid w:val="007A696F"/>
    <w:rsid w:val="007B2AE6"/>
    <w:rsid w:val="007B2CF0"/>
    <w:rsid w:val="007B71A6"/>
    <w:rsid w:val="007C7705"/>
    <w:rsid w:val="007D1961"/>
    <w:rsid w:val="007D4AA7"/>
    <w:rsid w:val="007E0B1B"/>
    <w:rsid w:val="007E79AA"/>
    <w:rsid w:val="007F06A6"/>
    <w:rsid w:val="007F32C9"/>
    <w:rsid w:val="007F43C2"/>
    <w:rsid w:val="007F6E01"/>
    <w:rsid w:val="0080614F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5795A"/>
    <w:rsid w:val="008625C9"/>
    <w:rsid w:val="00863216"/>
    <w:rsid w:val="00866725"/>
    <w:rsid w:val="0086742B"/>
    <w:rsid w:val="00870B52"/>
    <w:rsid w:val="00872146"/>
    <w:rsid w:val="00890576"/>
    <w:rsid w:val="00892DB0"/>
    <w:rsid w:val="00896655"/>
    <w:rsid w:val="008B096A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42BE8"/>
    <w:rsid w:val="009431C6"/>
    <w:rsid w:val="009436D0"/>
    <w:rsid w:val="00955D43"/>
    <w:rsid w:val="00957D5B"/>
    <w:rsid w:val="0096006C"/>
    <w:rsid w:val="009622B0"/>
    <w:rsid w:val="0096252E"/>
    <w:rsid w:val="00964081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C7168"/>
    <w:rsid w:val="009D0174"/>
    <w:rsid w:val="009D2CEE"/>
    <w:rsid w:val="009D587A"/>
    <w:rsid w:val="009E66A2"/>
    <w:rsid w:val="009E6EB2"/>
    <w:rsid w:val="009F0A24"/>
    <w:rsid w:val="009F6937"/>
    <w:rsid w:val="00A0388B"/>
    <w:rsid w:val="00A121D8"/>
    <w:rsid w:val="00A12989"/>
    <w:rsid w:val="00A133F6"/>
    <w:rsid w:val="00A165B0"/>
    <w:rsid w:val="00A1672C"/>
    <w:rsid w:val="00A2790D"/>
    <w:rsid w:val="00A3440F"/>
    <w:rsid w:val="00A410D0"/>
    <w:rsid w:val="00A549E5"/>
    <w:rsid w:val="00A56027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4E8"/>
    <w:rsid w:val="00B30D0C"/>
    <w:rsid w:val="00B4637A"/>
    <w:rsid w:val="00B51A1C"/>
    <w:rsid w:val="00B57A9B"/>
    <w:rsid w:val="00B6226D"/>
    <w:rsid w:val="00B67915"/>
    <w:rsid w:val="00B70C63"/>
    <w:rsid w:val="00B718C8"/>
    <w:rsid w:val="00B71C71"/>
    <w:rsid w:val="00B82F21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4C48"/>
    <w:rsid w:val="00BD654D"/>
    <w:rsid w:val="00BD7345"/>
    <w:rsid w:val="00BE0AF3"/>
    <w:rsid w:val="00BE4E4B"/>
    <w:rsid w:val="00BE6436"/>
    <w:rsid w:val="00BF0613"/>
    <w:rsid w:val="00BF1269"/>
    <w:rsid w:val="00BF5304"/>
    <w:rsid w:val="00C053FB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A1A47"/>
    <w:rsid w:val="00CA1DBD"/>
    <w:rsid w:val="00CA6EC4"/>
    <w:rsid w:val="00CA730C"/>
    <w:rsid w:val="00CB20E7"/>
    <w:rsid w:val="00CB7FEE"/>
    <w:rsid w:val="00CC2E2F"/>
    <w:rsid w:val="00CC595D"/>
    <w:rsid w:val="00CD4593"/>
    <w:rsid w:val="00CD5F90"/>
    <w:rsid w:val="00CE2962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26EBB"/>
    <w:rsid w:val="00D32468"/>
    <w:rsid w:val="00D330C4"/>
    <w:rsid w:val="00D420C5"/>
    <w:rsid w:val="00D433F7"/>
    <w:rsid w:val="00D55DB8"/>
    <w:rsid w:val="00D6291A"/>
    <w:rsid w:val="00D63B78"/>
    <w:rsid w:val="00D71AB8"/>
    <w:rsid w:val="00D7605E"/>
    <w:rsid w:val="00D8094C"/>
    <w:rsid w:val="00D93827"/>
    <w:rsid w:val="00DA0729"/>
    <w:rsid w:val="00DB0117"/>
    <w:rsid w:val="00DB0CD4"/>
    <w:rsid w:val="00DB2C24"/>
    <w:rsid w:val="00DC074C"/>
    <w:rsid w:val="00DC23CC"/>
    <w:rsid w:val="00DC58FC"/>
    <w:rsid w:val="00DC6CE5"/>
    <w:rsid w:val="00DD5B05"/>
    <w:rsid w:val="00DD6740"/>
    <w:rsid w:val="00DE1031"/>
    <w:rsid w:val="00DE39D5"/>
    <w:rsid w:val="00E00B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5E75"/>
    <w:rsid w:val="00E569A4"/>
    <w:rsid w:val="00E652AC"/>
    <w:rsid w:val="00E655DD"/>
    <w:rsid w:val="00E6638B"/>
    <w:rsid w:val="00E73389"/>
    <w:rsid w:val="00E75E9F"/>
    <w:rsid w:val="00E75F39"/>
    <w:rsid w:val="00E83FD9"/>
    <w:rsid w:val="00E85499"/>
    <w:rsid w:val="00E861D1"/>
    <w:rsid w:val="00E907A5"/>
    <w:rsid w:val="00EA41F3"/>
    <w:rsid w:val="00EB73F1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44327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5A8D"/>
    <w:rsid w:val="00FB61C9"/>
    <w:rsid w:val="00FB76FB"/>
    <w:rsid w:val="00FC7E18"/>
    <w:rsid w:val="00FD075B"/>
    <w:rsid w:val="00FD3E10"/>
    <w:rsid w:val="00FD6FD3"/>
    <w:rsid w:val="00FE0148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627CD788"/>
  <w15:docId w15:val="{D1BC5688-3CFC-44C6-918F-90D277F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5D4B-9DFF-462C-A1C3-5D1779C2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4518</Words>
  <Characters>26659</Characters>
  <Application>Microsoft Office Word</Application>
  <DocSecurity>8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Pavel</dc:creator>
  <cp:lastModifiedBy>VODA Miroslav</cp:lastModifiedBy>
  <cp:revision>5</cp:revision>
  <cp:lastPrinted>2025-01-21T08:23:00Z</cp:lastPrinted>
  <dcterms:created xsi:type="dcterms:W3CDTF">2025-01-21T08:20:00Z</dcterms:created>
  <dcterms:modified xsi:type="dcterms:W3CDTF">2026-03-09T09:18:00Z</dcterms:modified>
</cp:coreProperties>
</file>